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592" w:rsidRPr="00993913" w:rsidRDefault="00BF5592" w:rsidP="00ED0692">
      <w:pPr>
        <w:spacing w:line="480" w:lineRule="auto"/>
        <w:rPr>
          <w:b w:val="0"/>
          <w:color w:val="auto"/>
        </w:rPr>
      </w:pPr>
    </w:p>
    <w:p w:rsidR="00BF5592" w:rsidRPr="00993913" w:rsidRDefault="00BF5592" w:rsidP="00BF5592">
      <w:pPr>
        <w:spacing w:line="480" w:lineRule="auto"/>
        <w:rPr>
          <w:b w:val="0"/>
          <w:color w:val="auto"/>
        </w:rPr>
      </w:pPr>
    </w:p>
    <w:p w:rsidR="00BF5592" w:rsidRPr="00993913" w:rsidRDefault="00BF5592" w:rsidP="00BF5592">
      <w:pPr>
        <w:spacing w:line="480" w:lineRule="auto"/>
        <w:rPr>
          <w:b w:val="0"/>
          <w:color w:val="auto"/>
        </w:rPr>
      </w:pPr>
    </w:p>
    <w:p w:rsidR="00BF5592" w:rsidRPr="00993913" w:rsidRDefault="00BF5592" w:rsidP="00BF5592">
      <w:pPr>
        <w:spacing w:line="480" w:lineRule="auto"/>
        <w:rPr>
          <w:b w:val="0"/>
          <w:color w:val="auto"/>
        </w:rPr>
      </w:pPr>
    </w:p>
    <w:p w:rsidR="00BF5592" w:rsidRPr="00993913" w:rsidRDefault="00BF5592" w:rsidP="00BF5592">
      <w:pPr>
        <w:spacing w:line="480" w:lineRule="auto"/>
        <w:rPr>
          <w:b w:val="0"/>
          <w:color w:val="auto"/>
        </w:rPr>
      </w:pPr>
    </w:p>
    <w:p w:rsidR="00BF5592" w:rsidRPr="00993913" w:rsidRDefault="00BF5592" w:rsidP="00BF5592">
      <w:pPr>
        <w:spacing w:line="480" w:lineRule="auto"/>
        <w:jc w:val="center"/>
        <w:rPr>
          <w:b w:val="0"/>
          <w:color w:val="auto"/>
        </w:rPr>
      </w:pPr>
    </w:p>
    <w:p w:rsidR="00BF5592" w:rsidRPr="00993913" w:rsidRDefault="00BF5592" w:rsidP="00BF5592">
      <w:pPr>
        <w:spacing w:line="480" w:lineRule="auto"/>
        <w:jc w:val="center"/>
        <w:rPr>
          <w:b w:val="0"/>
          <w:color w:val="auto"/>
        </w:rPr>
      </w:pPr>
      <w:r w:rsidRPr="00993913">
        <w:rPr>
          <w:b w:val="0"/>
          <w:color w:val="auto"/>
        </w:rPr>
        <w:t>Impact of Bona Fide Occupational Qualifications</w:t>
      </w:r>
    </w:p>
    <w:p w:rsidR="00BF5592" w:rsidRPr="00993913" w:rsidRDefault="00BF5592" w:rsidP="00BF5592">
      <w:pPr>
        <w:spacing w:line="480" w:lineRule="auto"/>
        <w:jc w:val="center"/>
        <w:rPr>
          <w:b w:val="0"/>
          <w:color w:val="auto"/>
        </w:rPr>
      </w:pPr>
      <w:r w:rsidRPr="00993913">
        <w:rPr>
          <w:b w:val="0"/>
          <w:color w:val="auto"/>
        </w:rPr>
        <w:t>Name:</w:t>
      </w:r>
    </w:p>
    <w:p w:rsidR="00BF5592" w:rsidRPr="00993913" w:rsidRDefault="00BF5592" w:rsidP="00BF5592">
      <w:pPr>
        <w:spacing w:line="480" w:lineRule="auto"/>
        <w:jc w:val="center"/>
        <w:rPr>
          <w:b w:val="0"/>
          <w:color w:val="auto"/>
        </w:rPr>
      </w:pPr>
      <w:r w:rsidRPr="00993913">
        <w:rPr>
          <w:b w:val="0"/>
          <w:color w:val="auto"/>
        </w:rPr>
        <w:t>Tutor:</w:t>
      </w:r>
    </w:p>
    <w:p w:rsidR="00BF5592" w:rsidRPr="00993913" w:rsidRDefault="00BF5592" w:rsidP="00BF5592">
      <w:pPr>
        <w:spacing w:line="480" w:lineRule="auto"/>
        <w:jc w:val="center"/>
        <w:rPr>
          <w:b w:val="0"/>
          <w:color w:val="auto"/>
        </w:rPr>
      </w:pPr>
      <w:r w:rsidRPr="00993913">
        <w:rPr>
          <w:b w:val="0"/>
          <w:color w:val="auto"/>
        </w:rPr>
        <w:t>Institution:</w:t>
      </w:r>
    </w:p>
    <w:p w:rsidR="00BF5592" w:rsidRPr="00993913" w:rsidRDefault="00BF5592" w:rsidP="00ED0692">
      <w:pPr>
        <w:spacing w:line="480" w:lineRule="auto"/>
        <w:rPr>
          <w:b w:val="0"/>
          <w:color w:val="auto"/>
        </w:rPr>
      </w:pPr>
    </w:p>
    <w:p w:rsidR="00BF5592" w:rsidRPr="00993913" w:rsidRDefault="00BF5592" w:rsidP="00ED0692">
      <w:pPr>
        <w:spacing w:line="480" w:lineRule="auto"/>
        <w:rPr>
          <w:b w:val="0"/>
          <w:color w:val="auto"/>
        </w:rPr>
      </w:pPr>
    </w:p>
    <w:p w:rsidR="00BF5592" w:rsidRPr="00993913" w:rsidRDefault="00BF5592" w:rsidP="00ED0692">
      <w:pPr>
        <w:spacing w:line="480" w:lineRule="auto"/>
        <w:rPr>
          <w:b w:val="0"/>
          <w:color w:val="auto"/>
        </w:rPr>
      </w:pPr>
    </w:p>
    <w:p w:rsidR="00BF5592" w:rsidRPr="00993913" w:rsidRDefault="00BF5592" w:rsidP="00ED0692">
      <w:pPr>
        <w:spacing w:line="480" w:lineRule="auto"/>
        <w:rPr>
          <w:b w:val="0"/>
          <w:color w:val="auto"/>
        </w:rPr>
      </w:pPr>
    </w:p>
    <w:p w:rsidR="00BF5592" w:rsidRPr="00993913" w:rsidRDefault="00BF5592" w:rsidP="00ED0692">
      <w:pPr>
        <w:spacing w:line="480" w:lineRule="auto"/>
        <w:rPr>
          <w:b w:val="0"/>
          <w:color w:val="auto"/>
        </w:rPr>
      </w:pPr>
    </w:p>
    <w:p w:rsidR="00BF5592" w:rsidRPr="00993913" w:rsidRDefault="00BF5592" w:rsidP="00ED0692">
      <w:pPr>
        <w:spacing w:line="480" w:lineRule="auto"/>
        <w:rPr>
          <w:b w:val="0"/>
          <w:color w:val="auto"/>
        </w:rPr>
      </w:pPr>
    </w:p>
    <w:p w:rsidR="00BF5592" w:rsidRPr="00993913" w:rsidRDefault="00BF5592" w:rsidP="00ED0692">
      <w:pPr>
        <w:spacing w:line="480" w:lineRule="auto"/>
        <w:rPr>
          <w:b w:val="0"/>
          <w:color w:val="auto"/>
        </w:rPr>
      </w:pPr>
    </w:p>
    <w:p w:rsidR="00BF5592" w:rsidRPr="00993913" w:rsidRDefault="00BF5592" w:rsidP="00BF5592">
      <w:pPr>
        <w:spacing w:line="480" w:lineRule="auto"/>
        <w:jc w:val="center"/>
        <w:rPr>
          <w:b w:val="0"/>
          <w:color w:val="auto"/>
        </w:rPr>
      </w:pPr>
      <w:r w:rsidRPr="00993913">
        <w:rPr>
          <w:b w:val="0"/>
          <w:color w:val="auto"/>
        </w:rPr>
        <w:lastRenderedPageBreak/>
        <w:t>ABSTRACT</w:t>
      </w:r>
    </w:p>
    <w:p w:rsidR="00BF5592" w:rsidRPr="00993913" w:rsidRDefault="00BF5592" w:rsidP="00BF5592">
      <w:pPr>
        <w:spacing w:line="480" w:lineRule="auto"/>
        <w:ind w:firstLine="720"/>
        <w:rPr>
          <w:b w:val="0"/>
          <w:color w:val="auto"/>
        </w:rPr>
      </w:pPr>
      <w:r w:rsidRPr="00993913">
        <w:rPr>
          <w:b w:val="0"/>
          <w:color w:val="auto"/>
        </w:rPr>
        <w:t>The Bona Fide occupational qualification has been used as a defense by most employees who have been denied a job opportunity based on their differences. However, For Bona Fide occupational qualification to be deemed relevant to a case, it implies that the employee alleging for discrimination ought to prove prima facie in the case. Bona Fide occupational qualification Act has made an impact on various cases such as United States v. Virginia, where there was discrimination on the Virginia Military Institute (VMI) by the United States with the male-only admission policy. Also, the case with the Hooters Restaurant, where there was a report that seven men were discriminated that the company failed to hire them as wait staff. Also, a case of male nurses and female nurse assistants where a male nurse complained of being discriminated from giving care to female patients.</w:t>
      </w:r>
    </w:p>
    <w:p w:rsidR="00BF5592" w:rsidRPr="00993913" w:rsidRDefault="00BF5592" w:rsidP="00ED0692">
      <w:pPr>
        <w:spacing w:line="480" w:lineRule="auto"/>
        <w:rPr>
          <w:b w:val="0"/>
          <w:color w:val="auto"/>
        </w:rPr>
      </w:pPr>
    </w:p>
    <w:p w:rsidR="00BF5592" w:rsidRPr="00993913" w:rsidRDefault="00BF5592" w:rsidP="00ED0692">
      <w:pPr>
        <w:spacing w:line="480" w:lineRule="auto"/>
        <w:rPr>
          <w:b w:val="0"/>
          <w:color w:val="auto"/>
        </w:rPr>
      </w:pPr>
    </w:p>
    <w:p w:rsidR="00BF5592" w:rsidRPr="00993913" w:rsidRDefault="00BF5592" w:rsidP="00ED0692">
      <w:pPr>
        <w:spacing w:line="480" w:lineRule="auto"/>
        <w:rPr>
          <w:b w:val="0"/>
          <w:color w:val="auto"/>
        </w:rPr>
      </w:pPr>
    </w:p>
    <w:p w:rsidR="00BF5592" w:rsidRPr="00993913" w:rsidRDefault="00BF5592" w:rsidP="00ED0692">
      <w:pPr>
        <w:spacing w:line="480" w:lineRule="auto"/>
        <w:rPr>
          <w:b w:val="0"/>
          <w:color w:val="auto"/>
        </w:rPr>
      </w:pPr>
    </w:p>
    <w:p w:rsidR="00BF5592" w:rsidRPr="00993913" w:rsidRDefault="00BF5592" w:rsidP="00ED0692">
      <w:pPr>
        <w:spacing w:line="480" w:lineRule="auto"/>
        <w:rPr>
          <w:b w:val="0"/>
          <w:color w:val="auto"/>
        </w:rPr>
      </w:pPr>
    </w:p>
    <w:p w:rsidR="00BF5592" w:rsidRPr="00993913" w:rsidRDefault="00BF5592" w:rsidP="00ED0692">
      <w:pPr>
        <w:spacing w:line="480" w:lineRule="auto"/>
        <w:rPr>
          <w:b w:val="0"/>
          <w:color w:val="auto"/>
        </w:rPr>
      </w:pPr>
    </w:p>
    <w:p w:rsidR="00BF5592" w:rsidRPr="00993913" w:rsidRDefault="00BF5592" w:rsidP="00ED0692">
      <w:pPr>
        <w:spacing w:line="480" w:lineRule="auto"/>
        <w:rPr>
          <w:b w:val="0"/>
          <w:color w:val="auto"/>
        </w:rPr>
      </w:pPr>
    </w:p>
    <w:p w:rsidR="00BF5592" w:rsidRPr="00993913" w:rsidRDefault="00BF5592" w:rsidP="00BF5592">
      <w:pPr>
        <w:spacing w:line="480" w:lineRule="auto"/>
        <w:jc w:val="center"/>
        <w:rPr>
          <w:b w:val="0"/>
          <w:color w:val="auto"/>
        </w:rPr>
      </w:pPr>
    </w:p>
    <w:p w:rsidR="00ED0692" w:rsidRPr="00993913" w:rsidRDefault="00ED0692" w:rsidP="00BF5592">
      <w:pPr>
        <w:spacing w:line="480" w:lineRule="auto"/>
        <w:jc w:val="center"/>
        <w:rPr>
          <w:b w:val="0"/>
          <w:color w:val="auto"/>
        </w:rPr>
      </w:pPr>
      <w:r w:rsidRPr="00993913">
        <w:rPr>
          <w:b w:val="0"/>
          <w:color w:val="auto"/>
        </w:rPr>
        <w:lastRenderedPageBreak/>
        <w:t>LITERATURE REVIEW</w:t>
      </w:r>
    </w:p>
    <w:p w:rsidR="00ED0692" w:rsidRPr="00993913" w:rsidRDefault="00ED0692" w:rsidP="00BF5592">
      <w:pPr>
        <w:spacing w:line="480" w:lineRule="auto"/>
        <w:ind w:firstLine="720"/>
        <w:rPr>
          <w:b w:val="0"/>
          <w:color w:val="auto"/>
        </w:rPr>
      </w:pPr>
      <w:r w:rsidRPr="00993913">
        <w:rPr>
          <w:b w:val="0"/>
          <w:color w:val="auto"/>
        </w:rPr>
        <w:t>The Act of 1964 Title VII of the civil rights states that an employee should not be differently treated based on his/her sex, religion, nationality, color, gender and race unless they are a Bona Fide occupational qualification (Sovereign &amp; Kenneth, 1999). As provided by Bona Fide occupational qualification, the employee is only allowed to hire an employee based on the necessary reasonable qualifications to the operation of that business. The Bona Fide occupational qualification has been used as a defense by most employees who have been denied a job opportunity based on their differences. The act states that it is unlawful action when an employer discriminates an individual because of having a different color, nationality or religion. However, if proven necessary by the employer, then Bona Fide occupational qualification is deemed lawful (</w:t>
      </w:r>
      <w:proofErr w:type="spellStart"/>
      <w:r w:rsidRPr="00993913">
        <w:rPr>
          <w:b w:val="0"/>
          <w:color w:val="auto"/>
        </w:rPr>
        <w:t>Kingma</w:t>
      </w:r>
      <w:proofErr w:type="spellEnd"/>
      <w:r w:rsidRPr="00993913">
        <w:rPr>
          <w:b w:val="0"/>
          <w:color w:val="auto"/>
        </w:rPr>
        <w:t xml:space="preserve">, 1979). </w:t>
      </w:r>
    </w:p>
    <w:p w:rsidR="00ED0692" w:rsidRPr="00993913" w:rsidRDefault="00ED0692" w:rsidP="00BF5592">
      <w:pPr>
        <w:spacing w:line="480" w:lineRule="auto"/>
        <w:ind w:firstLine="720"/>
        <w:rPr>
          <w:b w:val="0"/>
          <w:color w:val="auto"/>
        </w:rPr>
      </w:pPr>
      <w:r w:rsidRPr="00993913">
        <w:rPr>
          <w:b w:val="0"/>
          <w:color w:val="auto"/>
        </w:rPr>
        <w:t>For Bona Fide occupational qualification to be deemed relevant to a case, it implies that the employee alleging for discrimination ought to prove prima facie in the case. Prima facie is where one has to prove with facts that a wrong was actually committed before getting to court. There are various discriminations which are involved in Bona Fide occupational qualification that contain various implications. First, sex discrimination which is where an individual is treated differently by another sex. For this, it may contain disparate impact or disparate treatment.</w:t>
      </w:r>
    </w:p>
    <w:p w:rsidR="00ED0692" w:rsidRPr="00993913" w:rsidRDefault="00ED0692" w:rsidP="00ED0692">
      <w:pPr>
        <w:spacing w:line="480" w:lineRule="auto"/>
        <w:rPr>
          <w:b w:val="0"/>
          <w:color w:val="auto"/>
        </w:rPr>
      </w:pPr>
      <w:r w:rsidRPr="00993913">
        <w:rPr>
          <w:b w:val="0"/>
          <w:color w:val="auto"/>
        </w:rPr>
        <w:t xml:space="preserve">Disparate impact is the discrimination on a group of workers who belong to a class that is protected. This protected class entails of a group of people who are protected from being discriminated by a local statute, state or a federal. Every citizen is at least a member of a protected class. In the course of disparate impact, where the plaintiff makes a prima facie case, then the defendant can prove that it was a neutral practice that was necessary for the business in </w:t>
      </w:r>
      <w:r w:rsidRPr="00993913">
        <w:rPr>
          <w:b w:val="0"/>
          <w:color w:val="auto"/>
        </w:rPr>
        <w:lastRenderedPageBreak/>
        <w:t>defending his/her case. The defendant only loses the case if the plaintiff is in a position to prove that the defendant could have achieved the business gal through other available less discriminatory ways. On the other hand, disparate treatment is also referred to as outright discrimination where an individual is treated in unjust and unfair way for having a differentiating factor like sex, race and religious beliefs.</w:t>
      </w:r>
    </w:p>
    <w:p w:rsidR="00ED0692" w:rsidRPr="00993913" w:rsidRDefault="00ED0692" w:rsidP="00BF5592">
      <w:pPr>
        <w:spacing w:line="480" w:lineRule="auto"/>
        <w:ind w:firstLine="720"/>
        <w:rPr>
          <w:b w:val="0"/>
          <w:color w:val="auto"/>
        </w:rPr>
      </w:pPr>
      <w:r w:rsidRPr="00993913">
        <w:rPr>
          <w:b w:val="0"/>
          <w:color w:val="auto"/>
        </w:rPr>
        <w:t xml:space="preserve">Bona Fide occupational qualification Act has made an impact on various cases. On United States v. Virginia, there was discrimination on the Virginia Military Institute (VMI) by the United States with the male-only admission policy. As provided in the civil right in title VII, an employer who discriminates an individual based on their sex can prove that sex qualification was a Bona Fide occupational qualification for efficient operations of that particular business (Sovereign &amp; Kenneth, 1999). </w:t>
      </w:r>
    </w:p>
    <w:p w:rsidR="00ED0692" w:rsidRPr="00993913" w:rsidRDefault="00ED0692" w:rsidP="00BF5592">
      <w:pPr>
        <w:spacing w:line="480" w:lineRule="auto"/>
        <w:ind w:firstLine="720"/>
        <w:rPr>
          <w:b w:val="0"/>
          <w:color w:val="auto"/>
        </w:rPr>
      </w:pPr>
      <w:r w:rsidRPr="00993913">
        <w:rPr>
          <w:b w:val="0"/>
          <w:color w:val="auto"/>
        </w:rPr>
        <w:t>This case involved disparate treatment since the Commonwealth of Virginia held a history of treating women and men differently where women used to be excluded in any military activity (</w:t>
      </w:r>
      <w:proofErr w:type="spellStart"/>
      <w:r w:rsidRPr="00993913">
        <w:rPr>
          <w:b w:val="0"/>
          <w:color w:val="auto"/>
        </w:rPr>
        <w:t>Kapczynski</w:t>
      </w:r>
      <w:proofErr w:type="spellEnd"/>
      <w:r w:rsidRPr="00993913">
        <w:rPr>
          <w:b w:val="0"/>
          <w:color w:val="auto"/>
        </w:rPr>
        <w:t>, 2002). Therefore, Virginia Military Institute openly worked with the male-only admission policy for they believed that women would end up destroying their adversative way. They, therefore, used the Bona Fide occupational qualification as a defense of protecting their adversative method and protecting their institutional identity. Their defense was not effective for the court held that the defendant had not proved their defense since it was seen that women would have greatly benefited from the program and thus concluding that the male-only admission policy was based on stereotypes.</w:t>
      </w:r>
    </w:p>
    <w:p w:rsidR="00ED0692" w:rsidRPr="00993913" w:rsidRDefault="00ED0692" w:rsidP="00BF5592">
      <w:pPr>
        <w:spacing w:line="480" w:lineRule="auto"/>
        <w:ind w:firstLine="720"/>
        <w:rPr>
          <w:b w:val="0"/>
          <w:color w:val="auto"/>
        </w:rPr>
      </w:pPr>
      <w:r w:rsidRPr="00993913">
        <w:rPr>
          <w:b w:val="0"/>
          <w:color w:val="auto"/>
        </w:rPr>
        <w:t xml:space="preserve">The case of Virginia Military Institute is a disparate impact and disparate treatment discrimination since the decision from the court did not just require admission of women to the </w:t>
      </w:r>
      <w:r w:rsidRPr="00993913">
        <w:rPr>
          <w:b w:val="0"/>
          <w:color w:val="auto"/>
        </w:rPr>
        <w:lastRenderedPageBreak/>
        <w:t>Virginia Military Institute, but also required necessary changes at the barracks to take place especially on the living arrangements and the necessary physical skill requirements in order to give equal opportunities to women.</w:t>
      </w:r>
    </w:p>
    <w:p w:rsidR="00ED0692" w:rsidRPr="00993913" w:rsidRDefault="00ED0692" w:rsidP="00ED0692">
      <w:pPr>
        <w:spacing w:line="480" w:lineRule="auto"/>
        <w:rPr>
          <w:b w:val="0"/>
          <w:color w:val="auto"/>
        </w:rPr>
      </w:pPr>
      <w:r w:rsidRPr="00993913">
        <w:rPr>
          <w:b w:val="0"/>
          <w:color w:val="auto"/>
        </w:rPr>
        <w:t xml:space="preserve"> </w:t>
      </w:r>
      <w:r w:rsidR="00BF5592" w:rsidRPr="00993913">
        <w:rPr>
          <w:b w:val="0"/>
          <w:color w:val="auto"/>
        </w:rPr>
        <w:tab/>
      </w:r>
      <w:r w:rsidRPr="00993913">
        <w:rPr>
          <w:b w:val="0"/>
          <w:color w:val="auto"/>
        </w:rPr>
        <w:t>The Virginia Military Institute could have avoided all these by indicating that all women who are able to and willing to live without privacy in the military barracks and can possess great upper body strength can go on and apply (</w:t>
      </w:r>
      <w:proofErr w:type="spellStart"/>
      <w:r w:rsidRPr="00993913">
        <w:rPr>
          <w:b w:val="0"/>
          <w:color w:val="auto"/>
        </w:rPr>
        <w:t>Kovacic</w:t>
      </w:r>
      <w:proofErr w:type="spellEnd"/>
      <w:r w:rsidRPr="00993913">
        <w:rPr>
          <w:b w:val="0"/>
          <w:color w:val="auto"/>
        </w:rPr>
        <w:t>-Fleischer, 1997). This decision is likely to have a disparate impact on the women since very few women would be willing to live without privacy with men and even fewer would have that upper body strength as per the job requirement. By stating this in the requirement most women would have been excluded in recruitment.</w:t>
      </w:r>
    </w:p>
    <w:p w:rsidR="00ED0692" w:rsidRPr="00993913" w:rsidRDefault="00ED0692" w:rsidP="00BF5592">
      <w:pPr>
        <w:spacing w:line="480" w:lineRule="auto"/>
        <w:ind w:firstLine="720"/>
        <w:rPr>
          <w:b w:val="0"/>
          <w:color w:val="auto"/>
        </w:rPr>
      </w:pPr>
      <w:r w:rsidRPr="00993913">
        <w:rPr>
          <w:b w:val="0"/>
          <w:color w:val="auto"/>
        </w:rPr>
        <w:t>However, if they had used this statement to make a prima facie case, the Virginia Military Institute could have made a defense by claiming those conditions were necessary for their business. The outcome of the case resulted as the Virginia Military Institute making barracks accommodative for women. The Virginia Military Institute was required to change the housing conditions and the physical strength required to give an equal opportunity to women.</w:t>
      </w:r>
    </w:p>
    <w:p w:rsidR="00ED0692" w:rsidRPr="00993913" w:rsidRDefault="00ED0692" w:rsidP="00BF5592">
      <w:pPr>
        <w:spacing w:line="480" w:lineRule="auto"/>
        <w:ind w:firstLine="720"/>
        <w:rPr>
          <w:b w:val="0"/>
          <w:color w:val="auto"/>
        </w:rPr>
      </w:pPr>
      <w:r w:rsidRPr="00993913">
        <w:rPr>
          <w:b w:val="0"/>
          <w:color w:val="auto"/>
        </w:rPr>
        <w:t xml:space="preserve">The second case </w:t>
      </w:r>
      <w:r w:rsidR="00DC3C49" w:rsidRPr="00993913">
        <w:rPr>
          <w:b w:val="0"/>
          <w:color w:val="auto"/>
        </w:rPr>
        <w:t xml:space="preserve">on gender discrimination </w:t>
      </w:r>
      <w:r w:rsidRPr="00993913">
        <w:rPr>
          <w:b w:val="0"/>
          <w:color w:val="auto"/>
        </w:rPr>
        <w:t xml:space="preserve">which reveals the impact of Bona Fide occupational qualification Act is that of Hooters Restaurant. In 1992, there was a report that seven men were discriminated that the company failed to hire them as wait staff. The Hooter only chose to hire the females only as hosts, bartenders, and servers. In the court, Hooters made a defense that women provided sexual recreation. As they used female sexuality as a Bona Fide occupational qualification, they lost the case since they were not in the entertainment industry. </w:t>
      </w:r>
      <w:r w:rsidRPr="00993913">
        <w:rPr>
          <w:b w:val="0"/>
          <w:color w:val="auto"/>
        </w:rPr>
        <w:lastRenderedPageBreak/>
        <w:t>The judge observed the family restaurant as a public restaurant and as per its nature; sex business was not one of them.</w:t>
      </w:r>
    </w:p>
    <w:p w:rsidR="00ED0692" w:rsidRPr="00993913" w:rsidRDefault="00ED0692" w:rsidP="00BF5592">
      <w:pPr>
        <w:spacing w:line="480" w:lineRule="auto"/>
        <w:ind w:firstLine="720"/>
        <w:rPr>
          <w:b w:val="0"/>
          <w:color w:val="auto"/>
        </w:rPr>
      </w:pPr>
      <w:r w:rsidRPr="00993913">
        <w:rPr>
          <w:b w:val="0"/>
          <w:color w:val="auto"/>
        </w:rPr>
        <w:t>In closing the case, the court gave an order of paying the males who were discriminated from the restaurant job in serving as Hooter girls, two million dollars. Also, the restaurant was required to pay 1.75 million dollars as charges of the attorney. The Hooter restaurant was required to create three gender-neutral positions to promote equal opportunities.</w:t>
      </w:r>
    </w:p>
    <w:p w:rsidR="00ED0692" w:rsidRPr="00993913" w:rsidRDefault="00ED0692" w:rsidP="00BF5592">
      <w:pPr>
        <w:spacing w:line="480" w:lineRule="auto"/>
        <w:ind w:firstLine="720"/>
        <w:rPr>
          <w:b w:val="0"/>
          <w:color w:val="auto"/>
        </w:rPr>
      </w:pPr>
      <w:r w:rsidRPr="00993913">
        <w:rPr>
          <w:b w:val="0"/>
          <w:color w:val="auto"/>
        </w:rPr>
        <w:t>The third case that reveals the impact of Bona Fide occupational qualification Act is that of Male Nurses v. Nurse Assistants. Usually, a manager is required to make hiring decisions based on personality, experience and education skills and sometimes based on guts feelings (</w:t>
      </w:r>
      <w:proofErr w:type="spellStart"/>
      <w:r w:rsidRPr="00993913">
        <w:rPr>
          <w:b w:val="0"/>
          <w:color w:val="auto"/>
        </w:rPr>
        <w:t>Kapczynski</w:t>
      </w:r>
      <w:proofErr w:type="spellEnd"/>
      <w:r w:rsidRPr="00993913">
        <w:rPr>
          <w:b w:val="0"/>
          <w:color w:val="auto"/>
        </w:rPr>
        <w:t xml:space="preserve">, 2002). The manager is required to respond effectively to the privacy need of a patient including toileting, dressing and bathing assistance. Failure to this, the patient holds a right to complain of his/her privacy rights being violated. </w:t>
      </w:r>
    </w:p>
    <w:p w:rsidR="00ED0692" w:rsidRPr="00993913" w:rsidRDefault="00ED0692" w:rsidP="00BF5592">
      <w:pPr>
        <w:spacing w:line="480" w:lineRule="auto"/>
        <w:ind w:firstLine="720"/>
        <w:rPr>
          <w:b w:val="0"/>
          <w:color w:val="auto"/>
        </w:rPr>
      </w:pPr>
      <w:r w:rsidRPr="00993913">
        <w:rPr>
          <w:b w:val="0"/>
          <w:color w:val="auto"/>
        </w:rPr>
        <w:t>A case was filed on a male nurse complaining of being discriminated from giving care to female patients. However, on two different occasions, the nurse was assigned to give private nursing care to female patients. On his way to attend for the female patient, he was stopped by the hospital staff and told that he could not attend to the female patient since he was male. As a result, he was not paid since he did not attend to them. The court ruled in his favor since he was denied access to patients based on gender factor without the patient being given a chance to choose him or rule him out in proving care (Hawke, 1998).</w:t>
      </w:r>
    </w:p>
    <w:p w:rsidR="00ED0692" w:rsidRPr="00993913" w:rsidRDefault="00ED0692" w:rsidP="00BF5592">
      <w:pPr>
        <w:spacing w:line="480" w:lineRule="auto"/>
        <w:ind w:firstLine="720"/>
        <w:rPr>
          <w:b w:val="0"/>
          <w:color w:val="auto"/>
        </w:rPr>
      </w:pPr>
      <w:r w:rsidRPr="00993913">
        <w:rPr>
          <w:b w:val="0"/>
          <w:color w:val="auto"/>
        </w:rPr>
        <w:t xml:space="preserve">Besides, in </w:t>
      </w:r>
      <w:proofErr w:type="spellStart"/>
      <w:r w:rsidRPr="00993913">
        <w:rPr>
          <w:b w:val="0"/>
          <w:color w:val="auto"/>
        </w:rPr>
        <w:t>Fesel</w:t>
      </w:r>
      <w:proofErr w:type="spellEnd"/>
      <w:r w:rsidRPr="00993913">
        <w:rPr>
          <w:b w:val="0"/>
          <w:color w:val="auto"/>
        </w:rPr>
        <w:t xml:space="preserve"> v. Masonic Home of Delaware, an institution successfully used the privacy rights of patients who were female as a defense to a case.  This is after a residential </w:t>
      </w:r>
      <w:r w:rsidRPr="00993913">
        <w:rPr>
          <w:b w:val="0"/>
          <w:color w:val="auto"/>
        </w:rPr>
        <w:lastRenderedPageBreak/>
        <w:t>retirement home which had a female clientele and denied employment to a nurse for being a male. The employer had to prove that the decision had factual foundations for foreseeing that the male nurse would have contradicted the essence of the business. The employer also had to prove that he avoided creating a clash between the non-discrimination principle and the privacy interest of the patient (Hawke, 1998).</w:t>
      </w:r>
    </w:p>
    <w:p w:rsidR="00ED0692" w:rsidRPr="00993913" w:rsidRDefault="00ED0692" w:rsidP="00BF5592">
      <w:pPr>
        <w:spacing w:line="480" w:lineRule="auto"/>
        <w:ind w:firstLine="720"/>
        <w:rPr>
          <w:b w:val="0"/>
          <w:color w:val="auto"/>
        </w:rPr>
      </w:pPr>
      <w:r w:rsidRPr="00993913">
        <w:rPr>
          <w:b w:val="0"/>
          <w:color w:val="auto"/>
        </w:rPr>
        <w:t>Basing on the judgment that the female guest had objected to being cared for by a male nurse, the court was able to establish that the defense of the employer had a Bona Fide occupational qualification for it fulfilled the privacy interest of the female clientele. Moreover, the court was able to differentiate between customer preferences and privacy rights.</w:t>
      </w:r>
    </w:p>
    <w:p w:rsidR="00ED0692" w:rsidRPr="00993913" w:rsidRDefault="00ED0692" w:rsidP="00BF5592">
      <w:pPr>
        <w:spacing w:line="480" w:lineRule="auto"/>
        <w:ind w:firstLine="720"/>
        <w:rPr>
          <w:b w:val="0"/>
          <w:color w:val="auto"/>
        </w:rPr>
      </w:pPr>
      <w:r w:rsidRPr="00993913">
        <w:rPr>
          <w:b w:val="0"/>
          <w:color w:val="auto"/>
        </w:rPr>
        <w:t>Additionally, in 1991, the Supreme Court of Ohio showcased the influence of Bona Fide occupational qualification in the case of Little Forest Medical Center v. Ohio Civil right Commission</w:t>
      </w:r>
      <w:r w:rsidR="00BF5592" w:rsidRPr="00993913">
        <w:rPr>
          <w:b w:val="0"/>
          <w:color w:val="auto"/>
        </w:rPr>
        <w:t xml:space="preserve"> </w:t>
      </w:r>
      <w:r w:rsidRPr="00993913">
        <w:rPr>
          <w:b w:val="0"/>
          <w:color w:val="auto"/>
        </w:rPr>
        <w:t xml:space="preserve">(Bloom, 2014). The Little Forest Medical Center denied some male candidates a chance to be employed as nurse assistants because of their gender. The medical center served around 256 patients who were elderly and the majority of them were female. The court could not establish their decision as a Bona Fide occupational qualification for they were not able to prove that their decision intended to protect the privacy interest of the patients especially the female patients. Also, the defendant could not prove why they didn’t hire male assistants to attend male patients. </w:t>
      </w:r>
    </w:p>
    <w:p w:rsidR="00ED0692" w:rsidRPr="00993913" w:rsidRDefault="00ED0692" w:rsidP="00BF5592">
      <w:pPr>
        <w:spacing w:line="480" w:lineRule="auto"/>
        <w:ind w:firstLine="720"/>
        <w:rPr>
          <w:b w:val="0"/>
          <w:color w:val="auto"/>
        </w:rPr>
      </w:pPr>
      <w:r w:rsidRPr="00993913">
        <w:rPr>
          <w:b w:val="0"/>
          <w:color w:val="auto"/>
        </w:rPr>
        <w:t xml:space="preserve">In the case of Gregory R. Wilson v. Southwest Airlines also showcases the influence of Bona Fide occupational qualification. In 1981, a lawsuit was filed against Southern Airline Company by Gregory Wilson alongside a hundred applicants who were male for being denied a job opportunity for being males. The Southwest had previously employer some marketing agents </w:t>
      </w:r>
      <w:r w:rsidRPr="00993913">
        <w:rPr>
          <w:b w:val="0"/>
          <w:color w:val="auto"/>
        </w:rPr>
        <w:lastRenderedPageBreak/>
        <w:t xml:space="preserve">who were male to boost the business then started hiring female only as ticket agents and flight attendants. This two position in the greatest contact with the customers and as a result, the strategy of using females worked in boosting the business (Bloom, 2014). </w:t>
      </w:r>
    </w:p>
    <w:p w:rsidR="00ED0692" w:rsidRPr="00993913" w:rsidRDefault="00ED0692" w:rsidP="00BF5592">
      <w:pPr>
        <w:spacing w:line="480" w:lineRule="auto"/>
        <w:ind w:firstLine="720"/>
        <w:rPr>
          <w:b w:val="0"/>
          <w:color w:val="auto"/>
        </w:rPr>
      </w:pPr>
      <w:r w:rsidRPr="00993913">
        <w:rPr>
          <w:b w:val="0"/>
          <w:color w:val="auto"/>
        </w:rPr>
        <w:t>The court deemed this practice as unfair and violating the civil rights of the 1964 Act. The act of limiting the male applicants favored the business but the same time discriminated men. Southwest airline ought to prove that their decision was necessary for the business but they couldn’t prove why they had to discriminate men, therefore, making the claim unjustifiable as a Bona Fide occupational qualification defense. To close the case, the southwest airline paid 275 thousand dollars as attorney fees and one million dollars as payback for the male applicants who were denied a chance of employment.</w:t>
      </w:r>
    </w:p>
    <w:p w:rsidR="00ED0692" w:rsidRPr="00993913" w:rsidRDefault="00ED0692" w:rsidP="00BF5592">
      <w:pPr>
        <w:spacing w:line="480" w:lineRule="auto"/>
        <w:ind w:firstLine="720"/>
        <w:rPr>
          <w:b w:val="0"/>
          <w:color w:val="auto"/>
        </w:rPr>
      </w:pPr>
      <w:r w:rsidRPr="00993913">
        <w:rPr>
          <w:b w:val="0"/>
          <w:color w:val="auto"/>
        </w:rPr>
        <w:t>In the case of Baker v. California Land Title Company, the influence of Bona Fide occupational qualification is proved to have existed. An employee was fired for attending to work with long hair. The plaintiff filed a case claiming gender discrimination since women were allowed to have long hair while men were prohibited. As per the civil rights Act, the employees are protected from discrimination in hiring based on nationality, color or gender and not preventing the freedom of an employer to on setting the grooming practices which the employer thinks it’s best for his business.</w:t>
      </w:r>
    </w:p>
    <w:p w:rsidR="00ED0692" w:rsidRPr="00993913" w:rsidRDefault="00ED0692" w:rsidP="00BF5592">
      <w:pPr>
        <w:spacing w:line="480" w:lineRule="auto"/>
        <w:ind w:firstLine="720"/>
        <w:rPr>
          <w:b w:val="0"/>
          <w:color w:val="auto"/>
        </w:rPr>
      </w:pPr>
      <w:r w:rsidRPr="00993913">
        <w:rPr>
          <w:b w:val="0"/>
          <w:color w:val="auto"/>
        </w:rPr>
        <w:t xml:space="preserve">Lastly, in the case of </w:t>
      </w:r>
      <w:proofErr w:type="spellStart"/>
      <w:r w:rsidRPr="00993913">
        <w:rPr>
          <w:b w:val="0"/>
          <w:color w:val="auto"/>
        </w:rPr>
        <w:t>Gerdom</w:t>
      </w:r>
      <w:proofErr w:type="spellEnd"/>
      <w:r w:rsidRPr="00993913">
        <w:rPr>
          <w:b w:val="0"/>
          <w:color w:val="auto"/>
        </w:rPr>
        <w:t xml:space="preserve"> v. Continental Airlines, it required that </w:t>
      </w:r>
      <w:proofErr w:type="gramStart"/>
      <w:r w:rsidRPr="00993913">
        <w:rPr>
          <w:b w:val="0"/>
          <w:color w:val="auto"/>
        </w:rPr>
        <w:t>females</w:t>
      </w:r>
      <w:proofErr w:type="gramEnd"/>
      <w:r w:rsidRPr="00993913">
        <w:rPr>
          <w:b w:val="0"/>
          <w:color w:val="auto"/>
        </w:rPr>
        <w:t xml:space="preserve"> flight hostesses follow the weight requirement as a condition in the employment contract (Bloom, 2014). This policy was then challenged as sex discrimination. Basing on the Title VII, the company was found to have violated the civil right Act that protected employees from </w:t>
      </w:r>
      <w:r w:rsidRPr="00993913">
        <w:rPr>
          <w:b w:val="0"/>
          <w:color w:val="auto"/>
        </w:rPr>
        <w:lastRenderedPageBreak/>
        <w:t>discrimination especially for the females since thirty male employees were not required to follow the weight requirement and the court does not find it as a critical factor for the business.</w:t>
      </w:r>
    </w:p>
    <w:p w:rsidR="00DC3C49" w:rsidRPr="00993913" w:rsidRDefault="00DC3C49" w:rsidP="00DC3C49">
      <w:pPr>
        <w:spacing w:line="480" w:lineRule="auto"/>
        <w:ind w:firstLine="720"/>
        <w:jc w:val="both"/>
        <w:rPr>
          <w:b w:val="0"/>
          <w:color w:val="auto"/>
        </w:rPr>
      </w:pPr>
      <w:r w:rsidRPr="00993913">
        <w:rPr>
          <w:b w:val="0"/>
          <w:color w:val="auto"/>
        </w:rPr>
        <w:t xml:space="preserve">Bona Fide occupational qualification have worked in various situations where the defendant lacks a solid defense but in real sense, most people are left rendered victims in this situations. People are still denied of opportunities for being different or not conforming to the occupation requirement. Recently in Victoria- Texas, some people in a medical center were fired for not having the required Body Mass Index. Most of them were above 30 and therefore rendered as obese. In most states, employers give restrictions to their employees on their weight and height they should have for the operations of their </w:t>
      </w:r>
      <w:proofErr w:type="gramStart"/>
      <w:r w:rsidRPr="00993913">
        <w:rPr>
          <w:b w:val="0"/>
          <w:color w:val="auto"/>
        </w:rPr>
        <w:t>businesses(</w:t>
      </w:r>
      <w:proofErr w:type="gramEnd"/>
      <w:r w:rsidRPr="00993913">
        <w:rPr>
          <w:b w:val="0"/>
          <w:color w:val="auto"/>
        </w:rPr>
        <w:t xml:space="preserve">Christopher, </w:t>
      </w:r>
      <w:proofErr w:type="spellStart"/>
      <w:r w:rsidRPr="00993913">
        <w:rPr>
          <w:b w:val="0"/>
          <w:color w:val="auto"/>
        </w:rPr>
        <w:t>Wesierski</w:t>
      </w:r>
      <w:proofErr w:type="spellEnd"/>
      <w:r w:rsidRPr="00993913">
        <w:rPr>
          <w:b w:val="0"/>
          <w:color w:val="auto"/>
        </w:rPr>
        <w:t xml:space="preserve"> and Roxana, 2012). Most of people feel left and discriminated especially since they can still perform their task well.</w:t>
      </w:r>
    </w:p>
    <w:p w:rsidR="00DC3C49" w:rsidRPr="00993913" w:rsidRDefault="00DC3C49" w:rsidP="00DC3C49">
      <w:pPr>
        <w:spacing w:line="480" w:lineRule="auto"/>
        <w:ind w:firstLine="720"/>
        <w:rPr>
          <w:b w:val="0"/>
          <w:color w:val="auto"/>
        </w:rPr>
      </w:pPr>
      <w:r w:rsidRPr="00993913">
        <w:rPr>
          <w:b w:val="0"/>
          <w:color w:val="auto"/>
        </w:rPr>
        <w:t xml:space="preserve">Bona Fide occupational qualification is not be effective anymore for it ends up punishing the employer who feels what’s right for his business and leaves out what does work for him/her. The Act may be a solid defense in some areas but in others, it is just a mere exaggeration. For instance, in public transport, a driver is carefully selected to avoid going for one whose height may hinder him or her from operating the steering wheel. If all employers were to go away with the Bona Fide occupational qualification defense, most of citizens who are physically challenged might be pushed out of the opportunity without given a chance to prove </w:t>
      </w:r>
      <w:proofErr w:type="gramStart"/>
      <w:r w:rsidRPr="00993913">
        <w:rPr>
          <w:b w:val="0"/>
          <w:color w:val="auto"/>
        </w:rPr>
        <w:t>themselves</w:t>
      </w:r>
      <w:proofErr w:type="gramEnd"/>
      <w:r w:rsidRPr="00993913">
        <w:rPr>
          <w:b w:val="0"/>
          <w:color w:val="auto"/>
        </w:rPr>
        <w:t>. Some people are physically challenged but well talented in many things that can benefit the company extremely.</w:t>
      </w:r>
    </w:p>
    <w:p w:rsidR="00DC3C49" w:rsidRPr="00993913" w:rsidRDefault="00DC3C49" w:rsidP="00DC3C49">
      <w:pPr>
        <w:spacing w:line="480" w:lineRule="auto"/>
        <w:ind w:firstLine="720"/>
        <w:jc w:val="both"/>
        <w:rPr>
          <w:b w:val="0"/>
          <w:color w:val="auto"/>
        </w:rPr>
      </w:pPr>
      <w:r w:rsidRPr="00993913">
        <w:rPr>
          <w:b w:val="0"/>
          <w:color w:val="auto"/>
        </w:rPr>
        <w:t xml:space="preserve">There are municipalities including Santa Cruz and San Francisco fights against discrimination while other states like California and Michigan are very particular on height and </w:t>
      </w:r>
      <w:r w:rsidRPr="00993913">
        <w:rPr>
          <w:b w:val="0"/>
          <w:color w:val="auto"/>
        </w:rPr>
        <w:lastRenderedPageBreak/>
        <w:t xml:space="preserve">weight specifications. Nevertheless, under Fair Employment and Housing Act (FEHA) in California and Americans with Disabilities Act (ADA), employees can file for discrimination based on a physical ability (Christopher, </w:t>
      </w:r>
      <w:proofErr w:type="spellStart"/>
      <w:r w:rsidRPr="00993913">
        <w:rPr>
          <w:b w:val="0"/>
          <w:color w:val="auto"/>
        </w:rPr>
        <w:t>Wesierski</w:t>
      </w:r>
      <w:proofErr w:type="spellEnd"/>
      <w:r w:rsidRPr="00993913">
        <w:rPr>
          <w:b w:val="0"/>
          <w:color w:val="auto"/>
        </w:rPr>
        <w:t xml:space="preserve"> and Roxana, 2012). However, most of people still does not benefit from this protection since, as long as an employer can prove that the employee could not effectively perform his or her required tasks, then the case is discharged</w:t>
      </w:r>
      <w:r w:rsidR="00993913" w:rsidRPr="00993913">
        <w:rPr>
          <w:b w:val="0"/>
          <w:color w:val="auto"/>
        </w:rPr>
        <w:t xml:space="preserve"> (</w:t>
      </w:r>
      <w:r w:rsidR="00993913" w:rsidRPr="00993913">
        <w:rPr>
          <w:b w:val="0"/>
          <w:color w:val="auto"/>
          <w:shd w:val="clear" w:color="auto" w:fill="FFFFFF"/>
        </w:rPr>
        <w:t>Lang, 1977)</w:t>
      </w:r>
      <w:r w:rsidRPr="00993913">
        <w:rPr>
          <w:b w:val="0"/>
          <w:color w:val="auto"/>
        </w:rPr>
        <w:t xml:space="preserve">. </w:t>
      </w:r>
    </w:p>
    <w:p w:rsidR="00DC3C49" w:rsidRPr="00993913" w:rsidRDefault="00DC3C49" w:rsidP="00DC3C49">
      <w:pPr>
        <w:spacing w:line="480" w:lineRule="auto"/>
        <w:ind w:firstLine="720"/>
        <w:jc w:val="both"/>
        <w:rPr>
          <w:b w:val="0"/>
          <w:color w:val="auto"/>
        </w:rPr>
      </w:pPr>
      <w:r w:rsidRPr="00993913">
        <w:rPr>
          <w:b w:val="0"/>
          <w:color w:val="auto"/>
        </w:rPr>
        <w:t>The Bona Fide occupational qualification defense is a legal statutory defense under section 703 of the Civil Rights Act that protects employees form discrimination whether on firing, conditions on employment, employment benefits, hiring and giving promotions</w:t>
      </w:r>
      <w:r w:rsidR="00993913" w:rsidRPr="00993913">
        <w:rPr>
          <w:b w:val="0"/>
          <w:color w:val="auto"/>
        </w:rPr>
        <w:t xml:space="preserve"> (</w:t>
      </w:r>
      <w:r w:rsidR="00993913" w:rsidRPr="00993913">
        <w:rPr>
          <w:b w:val="0"/>
          <w:color w:val="auto"/>
          <w:shd w:val="clear" w:color="auto" w:fill="FFFFFF"/>
        </w:rPr>
        <w:t>Neuberger, 1978)</w:t>
      </w:r>
      <w:r w:rsidRPr="00993913">
        <w:rPr>
          <w:b w:val="0"/>
          <w:color w:val="auto"/>
        </w:rPr>
        <w:t>. It is meant to create equal opportunities to people. The Bona Fide occupational qualification defense is available and effective in national origin, religion and mostly in gender discrimination but not in race discrimination cases. This suggests that Bona Fide occupational qualification defense was somehow valuable for gender discrimination</w:t>
      </w:r>
      <w:r w:rsidRPr="00993913">
        <w:rPr>
          <w:b w:val="0"/>
          <w:color w:val="auto"/>
        </w:rPr>
        <w:t xml:space="preserve"> only</w:t>
      </w:r>
      <w:r w:rsidRPr="00993913">
        <w:rPr>
          <w:b w:val="0"/>
          <w:color w:val="auto"/>
        </w:rPr>
        <w:t>.</w:t>
      </w:r>
    </w:p>
    <w:p w:rsidR="00DC3C49" w:rsidRPr="00993913" w:rsidRDefault="00DC3C49" w:rsidP="00DC3C49">
      <w:pPr>
        <w:spacing w:line="480" w:lineRule="auto"/>
        <w:ind w:firstLine="720"/>
        <w:jc w:val="both"/>
        <w:rPr>
          <w:b w:val="0"/>
          <w:color w:val="auto"/>
        </w:rPr>
      </w:pPr>
      <w:r w:rsidRPr="00993913">
        <w:rPr>
          <w:b w:val="0"/>
          <w:color w:val="auto"/>
        </w:rPr>
        <w:t>Moreover, the legislation history for Bona Fide occupational qualification as a solid defense in courts is very limited. This has made it difficult for most people to interpret it including in courts. The lack of legislative history is commonly attributed by common cases of gender discrimination and less cases of race discrimination</w:t>
      </w:r>
      <w:r w:rsidR="00993913" w:rsidRPr="00993913">
        <w:rPr>
          <w:b w:val="0"/>
          <w:color w:val="auto"/>
        </w:rPr>
        <w:t xml:space="preserve"> (</w:t>
      </w:r>
      <w:proofErr w:type="spellStart"/>
      <w:r w:rsidR="00993913" w:rsidRPr="00993913">
        <w:rPr>
          <w:b w:val="0"/>
          <w:color w:val="auto"/>
          <w:shd w:val="clear" w:color="auto" w:fill="FFFFFF"/>
        </w:rPr>
        <w:t>Rutherglen</w:t>
      </w:r>
      <w:proofErr w:type="spellEnd"/>
      <w:r w:rsidR="00993913" w:rsidRPr="00993913">
        <w:rPr>
          <w:b w:val="0"/>
          <w:color w:val="auto"/>
          <w:shd w:val="clear" w:color="auto" w:fill="FFFFFF"/>
        </w:rPr>
        <w:t xml:space="preserve">, </w:t>
      </w:r>
      <w:r w:rsidR="00993913" w:rsidRPr="00993913">
        <w:rPr>
          <w:b w:val="0"/>
          <w:color w:val="auto"/>
          <w:shd w:val="clear" w:color="auto" w:fill="FFFFFF"/>
        </w:rPr>
        <w:t>1995</w:t>
      </w:r>
      <w:r w:rsidR="00993913" w:rsidRPr="00993913">
        <w:rPr>
          <w:b w:val="0"/>
          <w:color w:val="auto"/>
          <w:shd w:val="clear" w:color="auto" w:fill="FFFFFF"/>
        </w:rPr>
        <w:t>)</w:t>
      </w:r>
      <w:r w:rsidRPr="00993913">
        <w:rPr>
          <w:b w:val="0"/>
          <w:color w:val="auto"/>
        </w:rPr>
        <w:t xml:space="preserve">. However, being that most racial group fight for an increased number of members to represent them in judicial sating and leadership position, this could be the main cause. It implicates </w:t>
      </w:r>
      <w:r w:rsidR="00993913" w:rsidRPr="00993913">
        <w:rPr>
          <w:b w:val="0"/>
          <w:color w:val="auto"/>
        </w:rPr>
        <w:t>that;</w:t>
      </w:r>
      <w:r w:rsidRPr="00993913">
        <w:rPr>
          <w:b w:val="0"/>
          <w:color w:val="auto"/>
        </w:rPr>
        <w:t xml:space="preserve"> a case of racial discrimination may not win in favor of the plaintiff for lacking a good representation in the hearing. Most people love their country and would remain loyal to it, hence some of these cases </w:t>
      </w:r>
      <w:r w:rsidRPr="00993913">
        <w:rPr>
          <w:b w:val="0"/>
          <w:color w:val="auto"/>
        </w:rPr>
        <w:lastRenderedPageBreak/>
        <w:t>may bring a conflict of interest to the people deciding the case therefore, making the Bona Fide occupational qualification Act not effective.</w:t>
      </w:r>
    </w:p>
    <w:p w:rsidR="00DC3C49" w:rsidRPr="00993913" w:rsidRDefault="00DC3C49" w:rsidP="00DC3C49">
      <w:pPr>
        <w:spacing w:line="480" w:lineRule="auto"/>
        <w:ind w:firstLine="720"/>
        <w:jc w:val="both"/>
        <w:rPr>
          <w:b w:val="0"/>
          <w:color w:val="auto"/>
        </w:rPr>
      </w:pPr>
      <w:r w:rsidRPr="00993913">
        <w:rPr>
          <w:b w:val="0"/>
          <w:color w:val="auto"/>
        </w:rPr>
        <w:t>A plaintiff may file a case of violation based on disparate impact or disparate treatment. Under disparate treatment, the claim of the individual of being treated differently based on race, sex, religion and nation origin is seemed valid, while on the same theory, under disparate impact claim, the employment practice is seemed neutral though a bit harsh on the protected group. When the plaintiff creates a prima facie case, then the defendant is left with the burden of articulating a non-discriminatory reason that is legitimate and one that is not pretext</w:t>
      </w:r>
      <w:r w:rsidR="00993913" w:rsidRPr="00993913">
        <w:rPr>
          <w:b w:val="0"/>
          <w:color w:val="auto"/>
        </w:rPr>
        <w:t xml:space="preserve"> (</w:t>
      </w:r>
      <w:proofErr w:type="spellStart"/>
      <w:r w:rsidR="00993913" w:rsidRPr="00993913">
        <w:rPr>
          <w:b w:val="0"/>
          <w:color w:val="auto"/>
          <w:shd w:val="clear" w:color="auto" w:fill="FFFFFF"/>
        </w:rPr>
        <w:t>Ka</w:t>
      </w:r>
      <w:r w:rsidR="00993913" w:rsidRPr="00993913">
        <w:rPr>
          <w:b w:val="0"/>
          <w:color w:val="auto"/>
          <w:shd w:val="clear" w:color="auto" w:fill="FFFFFF"/>
        </w:rPr>
        <w:t>nowitz</w:t>
      </w:r>
      <w:proofErr w:type="spellEnd"/>
      <w:r w:rsidR="00993913" w:rsidRPr="00993913">
        <w:rPr>
          <w:b w:val="0"/>
          <w:color w:val="auto"/>
          <w:shd w:val="clear" w:color="auto" w:fill="FFFFFF"/>
        </w:rPr>
        <w:t>, 1968)</w:t>
      </w:r>
      <w:r w:rsidRPr="00993913">
        <w:rPr>
          <w:b w:val="0"/>
          <w:color w:val="auto"/>
        </w:rPr>
        <w:t>. In this case, the justifications from the defendant do have to be good reason so long as they are deemed non-discriminatory. Then this reason is deemed worthy of credence.</w:t>
      </w:r>
    </w:p>
    <w:p w:rsidR="00DC3C49" w:rsidRPr="00993913" w:rsidRDefault="00DC3C49" w:rsidP="00DC3C49">
      <w:pPr>
        <w:spacing w:line="480" w:lineRule="auto"/>
        <w:ind w:firstLine="720"/>
        <w:jc w:val="both"/>
        <w:rPr>
          <w:b w:val="0"/>
          <w:color w:val="auto"/>
        </w:rPr>
      </w:pPr>
      <w:r w:rsidRPr="00993913">
        <w:rPr>
          <w:b w:val="0"/>
          <w:color w:val="auto"/>
        </w:rPr>
        <w:t>Commonly a job qualification should not be based upon the preference of a customer, employer or an employee. Additionally, a decrease in profit of a business is still not an adequate solid Bona Fide occupational qualification defense. Setting occupational restrictions has been considered difficult to meet for the business</w:t>
      </w:r>
      <w:r w:rsidR="00993913" w:rsidRPr="00993913">
        <w:rPr>
          <w:b w:val="0"/>
          <w:color w:val="auto"/>
          <w:shd w:val="clear" w:color="auto" w:fill="FFFFFF"/>
        </w:rPr>
        <w:t xml:space="preserve"> (</w:t>
      </w:r>
      <w:proofErr w:type="spellStart"/>
      <w:r w:rsidR="00993913" w:rsidRPr="00993913">
        <w:rPr>
          <w:b w:val="0"/>
          <w:color w:val="auto"/>
          <w:shd w:val="clear" w:color="auto" w:fill="FFFFFF"/>
        </w:rPr>
        <w:t>Sirota</w:t>
      </w:r>
      <w:proofErr w:type="spellEnd"/>
      <w:r w:rsidR="00993913" w:rsidRPr="00993913">
        <w:rPr>
          <w:b w:val="0"/>
          <w:color w:val="auto"/>
          <w:shd w:val="clear" w:color="auto" w:fill="FFFFFF"/>
        </w:rPr>
        <w:t>, 1976)</w:t>
      </w:r>
      <w:r w:rsidRPr="00993913">
        <w:rPr>
          <w:b w:val="0"/>
          <w:color w:val="auto"/>
        </w:rPr>
        <w:t xml:space="preserve">. Consequently, an employer ought to prove that a restriction made is a primary function of the business operation to justify that people outside the set restriction cannot perform the duty that is related to the goal of the business. </w:t>
      </w:r>
    </w:p>
    <w:p w:rsidR="00BF5592" w:rsidRPr="00993913" w:rsidRDefault="00DC3C49" w:rsidP="00DC3C49">
      <w:pPr>
        <w:spacing w:line="480" w:lineRule="auto"/>
        <w:ind w:firstLine="720"/>
        <w:jc w:val="both"/>
        <w:rPr>
          <w:b w:val="0"/>
          <w:color w:val="auto"/>
        </w:rPr>
      </w:pPr>
      <w:r w:rsidRPr="00993913">
        <w:rPr>
          <w:b w:val="0"/>
          <w:color w:val="auto"/>
        </w:rPr>
        <w:t xml:space="preserve">The effectiveness of Bona Fide occupational qualification defense has been seen to practically work in three main contexts, authenticity, safety and privacy. In real sense, discrimination mainly occurs basing on customer preference, stereotypes and sex promotion in business operation whose primary function is not to sell sex. Subsequently, most employers have succeeded to give non-discriminatory reasons and for the cases where unsuccessful cases where the defendant’s justification is not worth of credence, the legitimacy of the employer is </w:t>
      </w:r>
      <w:r w:rsidRPr="00993913">
        <w:rPr>
          <w:b w:val="0"/>
          <w:color w:val="auto"/>
        </w:rPr>
        <w:lastRenderedPageBreak/>
        <w:t>scrutinized and in this case, the judge can decide to unchanged, restrict or expand the discriminatory practice</w:t>
      </w:r>
      <w:r w:rsidR="00993913" w:rsidRPr="00993913">
        <w:rPr>
          <w:b w:val="0"/>
          <w:color w:val="auto"/>
        </w:rPr>
        <w:t xml:space="preserve"> (</w:t>
      </w:r>
      <w:r w:rsidR="00993913" w:rsidRPr="00993913">
        <w:rPr>
          <w:b w:val="0"/>
          <w:color w:val="auto"/>
          <w:shd w:val="clear" w:color="auto" w:fill="FFFFFF"/>
        </w:rPr>
        <w:t>Lang, 1977)</w:t>
      </w:r>
      <w:r w:rsidRPr="00993913">
        <w:rPr>
          <w:b w:val="0"/>
          <w:color w:val="auto"/>
        </w:rPr>
        <w:t>.</w:t>
      </w:r>
    </w:p>
    <w:p w:rsidR="00ED0692" w:rsidRPr="00993913" w:rsidRDefault="00ED0692" w:rsidP="00ED0692">
      <w:pPr>
        <w:spacing w:line="480" w:lineRule="auto"/>
        <w:rPr>
          <w:b w:val="0"/>
          <w:color w:val="auto"/>
        </w:rPr>
      </w:pPr>
      <w:r w:rsidRPr="00993913">
        <w:rPr>
          <w:b w:val="0"/>
          <w:color w:val="auto"/>
        </w:rPr>
        <w:t>REFERENCES</w:t>
      </w:r>
    </w:p>
    <w:sdt>
      <w:sdtPr>
        <w:rPr>
          <w:b w:val="0"/>
          <w:color w:val="auto"/>
        </w:rPr>
        <w:id w:val="111145805"/>
        <w:bibliography/>
      </w:sdtPr>
      <w:sdtContent>
        <w:p w:rsidR="00993913" w:rsidRPr="00993913" w:rsidRDefault="00993913" w:rsidP="00DC3C49">
          <w:pPr>
            <w:pStyle w:val="Bibliography"/>
            <w:ind w:left="720" w:hanging="720"/>
            <w:rPr>
              <w:b w:val="0"/>
              <w:color w:val="auto"/>
            </w:rPr>
          </w:pPr>
          <w:r w:rsidRPr="00993913">
            <w:rPr>
              <w:b w:val="0"/>
              <w:color w:val="auto"/>
            </w:rPr>
            <w:fldChar w:fldCharType="begin"/>
          </w:r>
          <w:r w:rsidRPr="00993913">
            <w:rPr>
              <w:b w:val="0"/>
              <w:color w:val="auto"/>
            </w:rPr>
            <w:instrText xml:space="preserve"> BIBLIOGRAPHY </w:instrText>
          </w:r>
          <w:r w:rsidRPr="00993913">
            <w:rPr>
              <w:b w:val="0"/>
              <w:color w:val="auto"/>
            </w:rPr>
            <w:fldChar w:fldCharType="separate"/>
          </w:r>
          <w:r w:rsidRPr="00993913">
            <w:rPr>
              <w:b w:val="0"/>
              <w:noProof/>
              <w:color w:val="auto"/>
            </w:rPr>
            <w:t xml:space="preserve">Amini, C. P. (2012). : WEIGHING THE BALANCE: THE BONA FIDE. </w:t>
          </w:r>
          <w:r w:rsidRPr="00993913">
            <w:rPr>
              <w:b w:val="0"/>
              <w:i/>
              <w:iCs/>
              <w:noProof/>
              <w:color w:val="auto"/>
            </w:rPr>
            <w:t>35 Los Angeles Lawyer 36 *</w:t>
          </w:r>
          <w:r w:rsidRPr="00993913">
            <w:rPr>
              <w:b w:val="0"/>
              <w:noProof/>
              <w:color w:val="auto"/>
            </w:rPr>
            <w:t>, 1-8.</w:t>
          </w:r>
          <w:r w:rsidRPr="00993913">
            <w:rPr>
              <w:b w:val="0"/>
              <w:bCs/>
              <w:noProof/>
              <w:color w:val="auto"/>
            </w:rPr>
            <w:fldChar w:fldCharType="end"/>
          </w:r>
        </w:p>
      </w:sdtContent>
    </w:sdt>
    <w:p w:rsidR="00993913" w:rsidRPr="00993913" w:rsidRDefault="00993913" w:rsidP="00BF5592">
      <w:pPr>
        <w:spacing w:line="480" w:lineRule="auto"/>
        <w:ind w:left="720" w:hanging="720"/>
        <w:jc w:val="both"/>
        <w:rPr>
          <w:b w:val="0"/>
          <w:color w:val="auto"/>
        </w:rPr>
      </w:pPr>
      <w:proofErr w:type="gramStart"/>
      <w:r w:rsidRPr="00993913">
        <w:rPr>
          <w:b w:val="0"/>
          <w:color w:val="auto"/>
        </w:rPr>
        <w:t>Bloom, S. R. (2014).</w:t>
      </w:r>
      <w:proofErr w:type="gramEnd"/>
      <w:r w:rsidRPr="00993913">
        <w:rPr>
          <w:b w:val="0"/>
          <w:color w:val="auto"/>
        </w:rPr>
        <w:t xml:space="preserve"> What Not to Wear. </w:t>
      </w:r>
      <w:proofErr w:type="gramStart"/>
      <w:r w:rsidRPr="00993913">
        <w:rPr>
          <w:b w:val="0"/>
          <w:color w:val="auto"/>
        </w:rPr>
        <w:t>Law School Student Scholarship.</w:t>
      </w:r>
      <w:proofErr w:type="gramEnd"/>
      <w:r w:rsidRPr="00993913">
        <w:rPr>
          <w:b w:val="0"/>
          <w:color w:val="auto"/>
        </w:rPr>
        <w:t xml:space="preserve"> 412. https://scholarship.shu.edu/student_scholarship/412</w:t>
      </w:r>
    </w:p>
    <w:p w:rsidR="00993913" w:rsidRPr="00993913" w:rsidRDefault="00993913" w:rsidP="00BF5592">
      <w:pPr>
        <w:spacing w:line="480" w:lineRule="auto"/>
        <w:ind w:left="720" w:hanging="720"/>
        <w:jc w:val="both"/>
        <w:rPr>
          <w:b w:val="0"/>
          <w:color w:val="auto"/>
          <w:shd w:val="clear" w:color="auto" w:fill="FFFFFF"/>
        </w:rPr>
      </w:pPr>
      <w:r w:rsidRPr="00993913">
        <w:rPr>
          <w:b w:val="0"/>
          <w:color w:val="auto"/>
          <w:shd w:val="clear" w:color="auto" w:fill="FFFFFF"/>
        </w:rPr>
        <w:t xml:space="preserve">Finkelstein, E. A., </w:t>
      </w:r>
      <w:proofErr w:type="spellStart"/>
      <w:r w:rsidRPr="00993913">
        <w:rPr>
          <w:b w:val="0"/>
          <w:color w:val="auto"/>
          <w:shd w:val="clear" w:color="auto" w:fill="FFFFFF"/>
        </w:rPr>
        <w:t>Khavjou</w:t>
      </w:r>
      <w:proofErr w:type="spellEnd"/>
      <w:r w:rsidRPr="00993913">
        <w:rPr>
          <w:b w:val="0"/>
          <w:color w:val="auto"/>
          <w:shd w:val="clear" w:color="auto" w:fill="FFFFFF"/>
        </w:rPr>
        <w:t xml:space="preserve">, O. A., Thompson, H., </w:t>
      </w:r>
      <w:proofErr w:type="spellStart"/>
      <w:r w:rsidRPr="00993913">
        <w:rPr>
          <w:b w:val="0"/>
          <w:color w:val="auto"/>
          <w:shd w:val="clear" w:color="auto" w:fill="FFFFFF"/>
        </w:rPr>
        <w:t>Trogdon</w:t>
      </w:r>
      <w:proofErr w:type="spellEnd"/>
      <w:r w:rsidRPr="00993913">
        <w:rPr>
          <w:b w:val="0"/>
          <w:color w:val="auto"/>
          <w:shd w:val="clear" w:color="auto" w:fill="FFFFFF"/>
        </w:rPr>
        <w:t>, J. G., Pan, L., Sherry, B., &amp; Dietz, W. (2012). Obesity and severe obesity forecasts through 2030.</w:t>
      </w:r>
      <w:r w:rsidRPr="00993913">
        <w:rPr>
          <w:rStyle w:val="apple-converted-space"/>
          <w:b w:val="0"/>
          <w:color w:val="auto"/>
          <w:shd w:val="clear" w:color="auto" w:fill="FFFFFF"/>
        </w:rPr>
        <w:t> </w:t>
      </w:r>
      <w:proofErr w:type="gramStart"/>
      <w:r w:rsidRPr="00993913">
        <w:rPr>
          <w:b w:val="0"/>
          <w:i/>
          <w:iCs/>
          <w:color w:val="auto"/>
          <w:shd w:val="clear" w:color="auto" w:fill="FFFFFF"/>
        </w:rPr>
        <w:t>American journal of preventive medicine</w:t>
      </w:r>
      <w:r w:rsidRPr="00993913">
        <w:rPr>
          <w:b w:val="0"/>
          <w:color w:val="auto"/>
          <w:shd w:val="clear" w:color="auto" w:fill="FFFFFF"/>
        </w:rPr>
        <w:t>,</w:t>
      </w:r>
      <w:r w:rsidRPr="00993913">
        <w:rPr>
          <w:rStyle w:val="apple-converted-space"/>
          <w:b w:val="0"/>
          <w:color w:val="auto"/>
          <w:shd w:val="clear" w:color="auto" w:fill="FFFFFF"/>
        </w:rPr>
        <w:t> </w:t>
      </w:r>
      <w:r w:rsidRPr="00993913">
        <w:rPr>
          <w:b w:val="0"/>
          <w:i/>
          <w:iCs/>
          <w:color w:val="auto"/>
          <w:shd w:val="clear" w:color="auto" w:fill="FFFFFF"/>
        </w:rPr>
        <w:t>42</w:t>
      </w:r>
      <w:r w:rsidRPr="00993913">
        <w:rPr>
          <w:b w:val="0"/>
          <w:color w:val="auto"/>
          <w:shd w:val="clear" w:color="auto" w:fill="FFFFFF"/>
        </w:rPr>
        <w:t xml:space="preserve">(6), </w:t>
      </w:r>
      <w:bookmarkStart w:id="0" w:name="_GoBack"/>
      <w:bookmarkEnd w:id="0"/>
      <w:r w:rsidRPr="00993913">
        <w:rPr>
          <w:b w:val="0"/>
          <w:color w:val="auto"/>
          <w:shd w:val="clear" w:color="auto" w:fill="FFFFFF"/>
        </w:rPr>
        <w:t>563-570.</w:t>
      </w:r>
      <w:proofErr w:type="gramEnd"/>
    </w:p>
    <w:p w:rsidR="00993913" w:rsidRPr="00993913" w:rsidRDefault="00993913" w:rsidP="00BF5592">
      <w:pPr>
        <w:spacing w:line="480" w:lineRule="auto"/>
        <w:ind w:left="720" w:hanging="720"/>
        <w:jc w:val="both"/>
        <w:rPr>
          <w:b w:val="0"/>
          <w:color w:val="auto"/>
        </w:rPr>
      </w:pPr>
      <w:proofErr w:type="spellStart"/>
      <w:r w:rsidRPr="00993913">
        <w:rPr>
          <w:b w:val="0"/>
          <w:color w:val="auto"/>
        </w:rPr>
        <w:t>Greenlaw</w:t>
      </w:r>
      <w:proofErr w:type="spellEnd"/>
      <w:r w:rsidRPr="00993913">
        <w:rPr>
          <w:b w:val="0"/>
          <w:color w:val="auto"/>
        </w:rPr>
        <w:t xml:space="preserve">, Paul S., Lee, Robert D. Jr. “Professional Notes- Sex and Employment Law: A Partial Catalog”, </w:t>
      </w:r>
      <w:proofErr w:type="spellStart"/>
      <w:r w:rsidRPr="00993913">
        <w:rPr>
          <w:b w:val="0"/>
          <w:color w:val="auto"/>
        </w:rPr>
        <w:t>pp</w:t>
      </w:r>
      <w:proofErr w:type="spellEnd"/>
      <w:r w:rsidRPr="00993913">
        <w:rPr>
          <w:b w:val="0"/>
          <w:color w:val="auto"/>
        </w:rPr>
        <w:t xml:space="preserve"> 57-72.</w:t>
      </w:r>
    </w:p>
    <w:p w:rsidR="00993913" w:rsidRPr="00993913" w:rsidRDefault="00993913" w:rsidP="00BF5592">
      <w:pPr>
        <w:spacing w:line="480" w:lineRule="auto"/>
        <w:ind w:left="720" w:hanging="720"/>
        <w:jc w:val="both"/>
        <w:rPr>
          <w:b w:val="0"/>
          <w:color w:val="auto"/>
        </w:rPr>
      </w:pPr>
      <w:proofErr w:type="spellStart"/>
      <w:r w:rsidRPr="00993913">
        <w:rPr>
          <w:b w:val="0"/>
          <w:color w:val="auto"/>
        </w:rPr>
        <w:t>Greenlaw</w:t>
      </w:r>
      <w:proofErr w:type="spellEnd"/>
      <w:r w:rsidRPr="00993913">
        <w:rPr>
          <w:b w:val="0"/>
          <w:color w:val="auto"/>
        </w:rPr>
        <w:t xml:space="preserve">, Paul S.; Kohl, John P. “Employer “Business” and “Job” Defenses in Civil Rights Actions”, Public Personnel Management, </w:t>
      </w:r>
      <w:proofErr w:type="gramStart"/>
      <w:r w:rsidRPr="00993913">
        <w:rPr>
          <w:b w:val="0"/>
          <w:color w:val="auto"/>
        </w:rPr>
        <w:t>Winter</w:t>
      </w:r>
      <w:proofErr w:type="gramEnd"/>
      <w:r w:rsidRPr="00993913">
        <w:rPr>
          <w:b w:val="0"/>
          <w:color w:val="auto"/>
        </w:rPr>
        <w:t xml:space="preserve"> 94, Volume 23, Issue 4, pp. 573-584.</w:t>
      </w:r>
    </w:p>
    <w:p w:rsidR="00993913" w:rsidRPr="00993913" w:rsidRDefault="00993913" w:rsidP="00BF5592">
      <w:pPr>
        <w:spacing w:line="480" w:lineRule="auto"/>
        <w:ind w:left="720" w:hanging="720"/>
        <w:jc w:val="both"/>
        <w:rPr>
          <w:b w:val="0"/>
          <w:color w:val="auto"/>
        </w:rPr>
      </w:pPr>
      <w:r w:rsidRPr="00993913">
        <w:rPr>
          <w:b w:val="0"/>
          <w:color w:val="auto"/>
        </w:rPr>
        <w:t xml:space="preserve">Hawke, C. (1998). </w:t>
      </w:r>
      <w:proofErr w:type="gramStart"/>
      <w:r w:rsidRPr="00993913">
        <w:rPr>
          <w:b w:val="0"/>
          <w:color w:val="auto"/>
        </w:rPr>
        <w:t>Nursing a fine line: Patient privacy and sex discrimination.</w:t>
      </w:r>
      <w:proofErr w:type="gramEnd"/>
      <w:r w:rsidRPr="00993913">
        <w:rPr>
          <w:b w:val="0"/>
          <w:color w:val="auto"/>
        </w:rPr>
        <w:t xml:space="preserve"> </w:t>
      </w:r>
      <w:proofErr w:type="gramStart"/>
      <w:r w:rsidRPr="00993913">
        <w:rPr>
          <w:b w:val="0"/>
          <w:color w:val="auto"/>
        </w:rPr>
        <w:t>Nursing management, 29(10), 56.</w:t>
      </w:r>
      <w:proofErr w:type="gramEnd"/>
    </w:p>
    <w:p w:rsidR="00993913" w:rsidRPr="00993913" w:rsidRDefault="00993913" w:rsidP="00993913">
      <w:pPr>
        <w:spacing w:line="480" w:lineRule="auto"/>
        <w:ind w:left="720" w:hanging="720"/>
        <w:jc w:val="both"/>
        <w:rPr>
          <w:b w:val="0"/>
          <w:color w:val="auto"/>
        </w:rPr>
      </w:pPr>
      <w:proofErr w:type="gramStart"/>
      <w:r w:rsidRPr="00993913">
        <w:rPr>
          <w:b w:val="0"/>
          <w:color w:val="auto"/>
          <w:shd w:val="clear" w:color="auto" w:fill="FFFFFF"/>
        </w:rPr>
        <w:t>Hogan, J., &amp; Quigley, A. M. (1986).</w:t>
      </w:r>
      <w:proofErr w:type="gramEnd"/>
      <w:r w:rsidRPr="00993913">
        <w:rPr>
          <w:b w:val="0"/>
          <w:color w:val="auto"/>
          <w:shd w:val="clear" w:color="auto" w:fill="FFFFFF"/>
        </w:rPr>
        <w:t xml:space="preserve"> </w:t>
      </w:r>
      <w:proofErr w:type="gramStart"/>
      <w:r w:rsidRPr="00993913">
        <w:rPr>
          <w:b w:val="0"/>
          <w:color w:val="auto"/>
          <w:shd w:val="clear" w:color="auto" w:fill="FFFFFF"/>
        </w:rPr>
        <w:t>Physical standards for employment and the courts.</w:t>
      </w:r>
      <w:proofErr w:type="gramEnd"/>
      <w:r w:rsidRPr="00993913">
        <w:rPr>
          <w:rStyle w:val="apple-converted-space"/>
          <w:b w:val="0"/>
          <w:color w:val="auto"/>
          <w:shd w:val="clear" w:color="auto" w:fill="FFFFFF"/>
        </w:rPr>
        <w:t> </w:t>
      </w:r>
      <w:proofErr w:type="gramStart"/>
      <w:r w:rsidRPr="00993913">
        <w:rPr>
          <w:b w:val="0"/>
          <w:i/>
          <w:iCs/>
          <w:color w:val="auto"/>
          <w:shd w:val="clear" w:color="auto" w:fill="FFFFFF"/>
        </w:rPr>
        <w:t>American Psychologist</w:t>
      </w:r>
      <w:r w:rsidRPr="00993913">
        <w:rPr>
          <w:b w:val="0"/>
          <w:color w:val="auto"/>
          <w:shd w:val="clear" w:color="auto" w:fill="FFFFFF"/>
        </w:rPr>
        <w:t>,</w:t>
      </w:r>
      <w:r w:rsidRPr="00993913">
        <w:rPr>
          <w:rStyle w:val="apple-converted-space"/>
          <w:b w:val="0"/>
          <w:color w:val="auto"/>
          <w:shd w:val="clear" w:color="auto" w:fill="FFFFFF"/>
        </w:rPr>
        <w:t> </w:t>
      </w:r>
      <w:r w:rsidRPr="00993913">
        <w:rPr>
          <w:b w:val="0"/>
          <w:i/>
          <w:iCs/>
          <w:color w:val="auto"/>
          <w:shd w:val="clear" w:color="auto" w:fill="FFFFFF"/>
        </w:rPr>
        <w:t>41</w:t>
      </w:r>
      <w:r w:rsidRPr="00993913">
        <w:rPr>
          <w:b w:val="0"/>
          <w:color w:val="auto"/>
          <w:shd w:val="clear" w:color="auto" w:fill="FFFFFF"/>
        </w:rPr>
        <w:t>(11), 1193.</w:t>
      </w:r>
      <w:proofErr w:type="gramEnd"/>
    </w:p>
    <w:p w:rsidR="00993913" w:rsidRPr="00993913" w:rsidRDefault="00993913" w:rsidP="00993913">
      <w:pPr>
        <w:spacing w:line="480" w:lineRule="auto"/>
        <w:ind w:left="720" w:hanging="720"/>
        <w:jc w:val="both"/>
        <w:rPr>
          <w:b w:val="0"/>
          <w:color w:val="auto"/>
          <w:shd w:val="clear" w:color="auto" w:fill="FFFFFF"/>
        </w:rPr>
      </w:pPr>
      <w:proofErr w:type="spellStart"/>
      <w:r w:rsidRPr="00993913">
        <w:rPr>
          <w:b w:val="0"/>
          <w:color w:val="auto"/>
          <w:shd w:val="clear" w:color="auto" w:fill="FFFFFF"/>
        </w:rPr>
        <w:t>Kanowitz</w:t>
      </w:r>
      <w:proofErr w:type="spellEnd"/>
      <w:r w:rsidRPr="00993913">
        <w:rPr>
          <w:b w:val="0"/>
          <w:color w:val="auto"/>
          <w:shd w:val="clear" w:color="auto" w:fill="FFFFFF"/>
        </w:rPr>
        <w:t>, L. (1968). Sex-Based Discrimination in American Law III: Title VII of the 1964 Civil Rights Act and the Equal Pay Act of 1963.</w:t>
      </w:r>
      <w:r w:rsidRPr="00993913">
        <w:rPr>
          <w:rStyle w:val="apple-converted-space"/>
          <w:b w:val="0"/>
          <w:color w:val="auto"/>
          <w:shd w:val="clear" w:color="auto" w:fill="FFFFFF"/>
        </w:rPr>
        <w:t> </w:t>
      </w:r>
      <w:proofErr w:type="gramStart"/>
      <w:r w:rsidRPr="00993913">
        <w:rPr>
          <w:b w:val="0"/>
          <w:i/>
          <w:iCs/>
          <w:color w:val="auto"/>
          <w:shd w:val="clear" w:color="auto" w:fill="FFFFFF"/>
        </w:rPr>
        <w:t>Hastings LJ</w:t>
      </w:r>
      <w:r w:rsidRPr="00993913">
        <w:rPr>
          <w:b w:val="0"/>
          <w:color w:val="auto"/>
          <w:shd w:val="clear" w:color="auto" w:fill="FFFFFF"/>
        </w:rPr>
        <w:t>,</w:t>
      </w:r>
      <w:r w:rsidRPr="00993913">
        <w:rPr>
          <w:rStyle w:val="apple-converted-space"/>
          <w:b w:val="0"/>
          <w:color w:val="auto"/>
          <w:shd w:val="clear" w:color="auto" w:fill="FFFFFF"/>
        </w:rPr>
        <w:t> </w:t>
      </w:r>
      <w:r w:rsidRPr="00993913">
        <w:rPr>
          <w:b w:val="0"/>
          <w:i/>
          <w:iCs/>
          <w:color w:val="auto"/>
          <w:shd w:val="clear" w:color="auto" w:fill="FFFFFF"/>
        </w:rPr>
        <w:t>20</w:t>
      </w:r>
      <w:r w:rsidRPr="00993913">
        <w:rPr>
          <w:b w:val="0"/>
          <w:color w:val="auto"/>
          <w:shd w:val="clear" w:color="auto" w:fill="FFFFFF"/>
        </w:rPr>
        <w:t>, 305.</w:t>
      </w:r>
      <w:proofErr w:type="gramEnd"/>
    </w:p>
    <w:p w:rsidR="00993913" w:rsidRPr="00993913" w:rsidRDefault="00993913" w:rsidP="00BF5592">
      <w:pPr>
        <w:spacing w:line="480" w:lineRule="auto"/>
        <w:ind w:left="720" w:hanging="720"/>
        <w:jc w:val="both"/>
        <w:rPr>
          <w:b w:val="0"/>
          <w:color w:val="auto"/>
        </w:rPr>
      </w:pPr>
      <w:proofErr w:type="spellStart"/>
      <w:r w:rsidRPr="00993913">
        <w:rPr>
          <w:b w:val="0"/>
          <w:color w:val="auto"/>
        </w:rPr>
        <w:lastRenderedPageBreak/>
        <w:t>Kapczynski</w:t>
      </w:r>
      <w:proofErr w:type="spellEnd"/>
      <w:r w:rsidRPr="00993913">
        <w:rPr>
          <w:b w:val="0"/>
          <w:color w:val="auto"/>
        </w:rPr>
        <w:t xml:space="preserve">, A. (2002). </w:t>
      </w:r>
      <w:proofErr w:type="gramStart"/>
      <w:r w:rsidRPr="00993913">
        <w:rPr>
          <w:b w:val="0"/>
          <w:color w:val="auto"/>
        </w:rPr>
        <w:t>Same-Sex Privacy and the Limits of Antidiscrimination Law.</w:t>
      </w:r>
      <w:proofErr w:type="gramEnd"/>
      <w:r w:rsidRPr="00993913">
        <w:rPr>
          <w:b w:val="0"/>
          <w:color w:val="auto"/>
        </w:rPr>
        <w:t xml:space="preserve"> Yale LJ, 112, 1257.</w:t>
      </w:r>
    </w:p>
    <w:p w:rsidR="00993913" w:rsidRPr="00993913" w:rsidRDefault="00993913" w:rsidP="00BF5592">
      <w:pPr>
        <w:spacing w:line="480" w:lineRule="auto"/>
        <w:ind w:left="720" w:hanging="720"/>
        <w:jc w:val="both"/>
        <w:rPr>
          <w:b w:val="0"/>
          <w:color w:val="auto"/>
        </w:rPr>
      </w:pPr>
      <w:proofErr w:type="spellStart"/>
      <w:r w:rsidRPr="00993913">
        <w:rPr>
          <w:b w:val="0"/>
          <w:color w:val="auto"/>
        </w:rPr>
        <w:t>Kingma</w:t>
      </w:r>
      <w:proofErr w:type="spellEnd"/>
      <w:r w:rsidRPr="00993913">
        <w:rPr>
          <w:b w:val="0"/>
          <w:color w:val="auto"/>
        </w:rPr>
        <w:t xml:space="preserve">, K. W. (1979). Sex Discrimination Justified Under Title VII: Privacy Rights in Nursing Homes. </w:t>
      </w:r>
      <w:proofErr w:type="gramStart"/>
      <w:r w:rsidRPr="00993913">
        <w:rPr>
          <w:b w:val="0"/>
          <w:color w:val="auto"/>
        </w:rPr>
        <w:t>Val. UL Rev., 14, 577.</w:t>
      </w:r>
      <w:proofErr w:type="gramEnd"/>
    </w:p>
    <w:p w:rsidR="00993913" w:rsidRPr="00993913" w:rsidRDefault="00993913" w:rsidP="00BF5592">
      <w:pPr>
        <w:spacing w:line="480" w:lineRule="auto"/>
        <w:ind w:left="720" w:hanging="720"/>
        <w:jc w:val="both"/>
        <w:rPr>
          <w:b w:val="0"/>
          <w:color w:val="auto"/>
        </w:rPr>
      </w:pPr>
      <w:proofErr w:type="spellStart"/>
      <w:r w:rsidRPr="00993913">
        <w:rPr>
          <w:b w:val="0"/>
          <w:color w:val="auto"/>
        </w:rPr>
        <w:t>Kovacic</w:t>
      </w:r>
      <w:proofErr w:type="spellEnd"/>
      <w:r w:rsidRPr="00993913">
        <w:rPr>
          <w:b w:val="0"/>
          <w:color w:val="auto"/>
        </w:rPr>
        <w:t xml:space="preserve">-Fleischer, C. S. (1997). </w:t>
      </w:r>
      <w:proofErr w:type="gramStart"/>
      <w:r w:rsidRPr="00993913">
        <w:rPr>
          <w:b w:val="0"/>
          <w:color w:val="auto"/>
        </w:rPr>
        <w:t>United States v. Virginia's New Gender Equal Protection Analysis with Ramifications for Pregnancy, Parenting, and Title VII.</w:t>
      </w:r>
      <w:proofErr w:type="gramEnd"/>
      <w:r w:rsidRPr="00993913">
        <w:rPr>
          <w:b w:val="0"/>
          <w:color w:val="auto"/>
        </w:rPr>
        <w:t xml:space="preserve"> </w:t>
      </w:r>
      <w:proofErr w:type="spellStart"/>
      <w:proofErr w:type="gramStart"/>
      <w:r w:rsidRPr="00993913">
        <w:rPr>
          <w:b w:val="0"/>
          <w:color w:val="auto"/>
        </w:rPr>
        <w:t>Vand</w:t>
      </w:r>
      <w:proofErr w:type="spellEnd"/>
      <w:r w:rsidRPr="00993913">
        <w:rPr>
          <w:b w:val="0"/>
          <w:color w:val="auto"/>
        </w:rPr>
        <w:t>.</w:t>
      </w:r>
      <w:proofErr w:type="gramEnd"/>
      <w:r w:rsidRPr="00993913">
        <w:rPr>
          <w:b w:val="0"/>
          <w:color w:val="auto"/>
        </w:rPr>
        <w:t xml:space="preserve"> </w:t>
      </w:r>
      <w:proofErr w:type="gramStart"/>
      <w:r w:rsidRPr="00993913">
        <w:rPr>
          <w:b w:val="0"/>
          <w:color w:val="auto"/>
        </w:rPr>
        <w:t>L. rev., 50, 843.</w:t>
      </w:r>
      <w:proofErr w:type="gramEnd"/>
    </w:p>
    <w:p w:rsidR="00993913" w:rsidRPr="00993913" w:rsidRDefault="00993913" w:rsidP="00993913">
      <w:pPr>
        <w:spacing w:line="480" w:lineRule="auto"/>
        <w:ind w:left="720" w:hanging="720"/>
        <w:jc w:val="both"/>
        <w:rPr>
          <w:b w:val="0"/>
          <w:color w:val="auto"/>
          <w:shd w:val="clear" w:color="auto" w:fill="FFFFFF"/>
        </w:rPr>
      </w:pPr>
      <w:r w:rsidRPr="00993913">
        <w:rPr>
          <w:b w:val="0"/>
          <w:color w:val="auto"/>
          <w:shd w:val="clear" w:color="auto" w:fill="FFFFFF"/>
        </w:rPr>
        <w:t xml:space="preserve">Lang, J. (1977). </w:t>
      </w:r>
      <w:proofErr w:type="gramStart"/>
      <w:r w:rsidRPr="00993913">
        <w:rPr>
          <w:b w:val="0"/>
          <w:color w:val="auto"/>
          <w:shd w:val="clear" w:color="auto" w:fill="FFFFFF"/>
        </w:rPr>
        <w:t>Protecting the Handicapped from Employment Discrimination: The Job-Relatedness and Bona Fide Occupational Qualification Doctrines.</w:t>
      </w:r>
      <w:proofErr w:type="gramEnd"/>
      <w:r w:rsidRPr="00993913">
        <w:rPr>
          <w:rStyle w:val="apple-converted-space"/>
          <w:b w:val="0"/>
          <w:color w:val="auto"/>
          <w:shd w:val="clear" w:color="auto" w:fill="FFFFFF"/>
        </w:rPr>
        <w:t> </w:t>
      </w:r>
      <w:r w:rsidRPr="00993913">
        <w:rPr>
          <w:b w:val="0"/>
          <w:i/>
          <w:iCs/>
          <w:color w:val="auto"/>
          <w:shd w:val="clear" w:color="auto" w:fill="FFFFFF"/>
        </w:rPr>
        <w:t>DePaul L. Rev.</w:t>
      </w:r>
      <w:r w:rsidRPr="00993913">
        <w:rPr>
          <w:b w:val="0"/>
          <w:color w:val="auto"/>
          <w:shd w:val="clear" w:color="auto" w:fill="FFFFFF"/>
        </w:rPr>
        <w:t>,</w:t>
      </w:r>
      <w:r w:rsidRPr="00993913">
        <w:rPr>
          <w:rStyle w:val="apple-converted-space"/>
          <w:b w:val="0"/>
          <w:color w:val="auto"/>
          <w:shd w:val="clear" w:color="auto" w:fill="FFFFFF"/>
        </w:rPr>
        <w:t> </w:t>
      </w:r>
      <w:r w:rsidRPr="00993913">
        <w:rPr>
          <w:b w:val="0"/>
          <w:i/>
          <w:iCs/>
          <w:color w:val="auto"/>
          <w:shd w:val="clear" w:color="auto" w:fill="FFFFFF"/>
        </w:rPr>
        <w:t>27</w:t>
      </w:r>
      <w:r w:rsidRPr="00993913">
        <w:rPr>
          <w:b w:val="0"/>
          <w:color w:val="auto"/>
          <w:shd w:val="clear" w:color="auto" w:fill="FFFFFF"/>
        </w:rPr>
        <w:t>, 989.</w:t>
      </w:r>
    </w:p>
    <w:p w:rsidR="00993913" w:rsidRPr="00993913" w:rsidRDefault="00993913" w:rsidP="00993913">
      <w:pPr>
        <w:spacing w:line="480" w:lineRule="auto"/>
        <w:ind w:left="720" w:hanging="720"/>
        <w:jc w:val="both"/>
        <w:rPr>
          <w:b w:val="0"/>
          <w:color w:val="auto"/>
          <w:shd w:val="clear" w:color="auto" w:fill="FFFFFF"/>
        </w:rPr>
      </w:pPr>
      <w:r w:rsidRPr="00993913">
        <w:rPr>
          <w:b w:val="0"/>
          <w:color w:val="auto"/>
          <w:shd w:val="clear" w:color="auto" w:fill="FFFFFF"/>
        </w:rPr>
        <w:t xml:space="preserve">Neuberger, T. S. (1978). </w:t>
      </w:r>
      <w:proofErr w:type="gramStart"/>
      <w:r w:rsidRPr="00993913">
        <w:rPr>
          <w:b w:val="0"/>
          <w:color w:val="auto"/>
          <w:shd w:val="clear" w:color="auto" w:fill="FFFFFF"/>
        </w:rPr>
        <w:t>Sex as a Bona Fide Occupational Qualification.</w:t>
      </w:r>
      <w:proofErr w:type="gramEnd"/>
      <w:r w:rsidRPr="00993913">
        <w:rPr>
          <w:rStyle w:val="apple-converted-space"/>
          <w:b w:val="0"/>
          <w:color w:val="auto"/>
          <w:shd w:val="clear" w:color="auto" w:fill="FFFFFF"/>
        </w:rPr>
        <w:t> </w:t>
      </w:r>
      <w:r w:rsidRPr="00993913">
        <w:rPr>
          <w:b w:val="0"/>
          <w:i/>
          <w:iCs/>
          <w:color w:val="auto"/>
          <w:shd w:val="clear" w:color="auto" w:fill="FFFFFF"/>
        </w:rPr>
        <w:t>Labor law journal</w:t>
      </w:r>
      <w:r w:rsidRPr="00993913">
        <w:rPr>
          <w:b w:val="0"/>
          <w:color w:val="auto"/>
          <w:shd w:val="clear" w:color="auto" w:fill="FFFFFF"/>
        </w:rPr>
        <w:t>,</w:t>
      </w:r>
      <w:r w:rsidRPr="00993913">
        <w:rPr>
          <w:rStyle w:val="apple-converted-space"/>
          <w:b w:val="0"/>
          <w:color w:val="auto"/>
          <w:shd w:val="clear" w:color="auto" w:fill="FFFFFF"/>
        </w:rPr>
        <w:t> </w:t>
      </w:r>
      <w:r w:rsidRPr="00993913">
        <w:rPr>
          <w:b w:val="0"/>
          <w:i/>
          <w:iCs/>
          <w:color w:val="auto"/>
          <w:shd w:val="clear" w:color="auto" w:fill="FFFFFF"/>
        </w:rPr>
        <w:t>29</w:t>
      </w:r>
      <w:r w:rsidRPr="00993913">
        <w:rPr>
          <w:b w:val="0"/>
          <w:color w:val="auto"/>
          <w:shd w:val="clear" w:color="auto" w:fill="FFFFFF"/>
        </w:rPr>
        <w:t xml:space="preserve">(7), </w:t>
      </w:r>
      <w:proofErr w:type="gramStart"/>
      <w:r w:rsidRPr="00993913">
        <w:rPr>
          <w:b w:val="0"/>
          <w:color w:val="auto"/>
          <w:shd w:val="clear" w:color="auto" w:fill="FFFFFF"/>
        </w:rPr>
        <w:t>425</w:t>
      </w:r>
      <w:proofErr w:type="gramEnd"/>
      <w:r w:rsidRPr="00993913">
        <w:rPr>
          <w:b w:val="0"/>
          <w:color w:val="auto"/>
          <w:shd w:val="clear" w:color="auto" w:fill="FFFFFF"/>
        </w:rPr>
        <w:t>.</w:t>
      </w:r>
    </w:p>
    <w:p w:rsidR="00993913" w:rsidRPr="00993913" w:rsidRDefault="00993913" w:rsidP="00993913">
      <w:pPr>
        <w:spacing w:line="480" w:lineRule="auto"/>
        <w:ind w:left="720" w:hanging="720"/>
        <w:jc w:val="both"/>
        <w:rPr>
          <w:b w:val="0"/>
          <w:color w:val="auto"/>
          <w:shd w:val="clear" w:color="auto" w:fill="FFFFFF"/>
        </w:rPr>
      </w:pPr>
      <w:proofErr w:type="spellStart"/>
      <w:r w:rsidRPr="00993913">
        <w:rPr>
          <w:b w:val="0"/>
          <w:color w:val="auto"/>
          <w:shd w:val="clear" w:color="auto" w:fill="FFFFFF"/>
        </w:rPr>
        <w:t>Rutherglen</w:t>
      </w:r>
      <w:proofErr w:type="spellEnd"/>
      <w:r w:rsidRPr="00993913">
        <w:rPr>
          <w:b w:val="0"/>
          <w:color w:val="auto"/>
          <w:shd w:val="clear" w:color="auto" w:fill="FFFFFF"/>
        </w:rPr>
        <w:t>, G. (1995). From race to age: The expanding scope of employment discrimination law.</w:t>
      </w:r>
      <w:r w:rsidRPr="00993913">
        <w:rPr>
          <w:rStyle w:val="apple-converted-space"/>
          <w:b w:val="0"/>
          <w:color w:val="auto"/>
          <w:shd w:val="clear" w:color="auto" w:fill="FFFFFF"/>
        </w:rPr>
        <w:t> </w:t>
      </w:r>
      <w:r w:rsidRPr="00993913">
        <w:rPr>
          <w:b w:val="0"/>
          <w:i/>
          <w:iCs/>
          <w:color w:val="auto"/>
          <w:shd w:val="clear" w:color="auto" w:fill="FFFFFF"/>
        </w:rPr>
        <w:t>The Journal of Legal Studies</w:t>
      </w:r>
      <w:r w:rsidRPr="00993913">
        <w:rPr>
          <w:b w:val="0"/>
          <w:color w:val="auto"/>
          <w:shd w:val="clear" w:color="auto" w:fill="FFFFFF"/>
        </w:rPr>
        <w:t>,</w:t>
      </w:r>
      <w:r w:rsidRPr="00993913">
        <w:rPr>
          <w:rStyle w:val="apple-converted-space"/>
          <w:b w:val="0"/>
          <w:color w:val="auto"/>
          <w:shd w:val="clear" w:color="auto" w:fill="FFFFFF"/>
        </w:rPr>
        <w:t> </w:t>
      </w:r>
      <w:r w:rsidRPr="00993913">
        <w:rPr>
          <w:b w:val="0"/>
          <w:i/>
          <w:iCs/>
          <w:color w:val="auto"/>
          <w:shd w:val="clear" w:color="auto" w:fill="FFFFFF"/>
        </w:rPr>
        <w:t>24</w:t>
      </w:r>
      <w:r w:rsidRPr="00993913">
        <w:rPr>
          <w:b w:val="0"/>
          <w:color w:val="auto"/>
          <w:shd w:val="clear" w:color="auto" w:fill="FFFFFF"/>
        </w:rPr>
        <w:t>(2), 491-521.</w:t>
      </w:r>
    </w:p>
    <w:p w:rsidR="00993913" w:rsidRPr="00993913" w:rsidRDefault="00993913" w:rsidP="00993913">
      <w:pPr>
        <w:spacing w:line="480" w:lineRule="auto"/>
        <w:ind w:left="720" w:hanging="720"/>
        <w:jc w:val="both"/>
        <w:rPr>
          <w:b w:val="0"/>
          <w:color w:val="auto"/>
          <w:shd w:val="clear" w:color="auto" w:fill="FFFFFF"/>
        </w:rPr>
      </w:pPr>
      <w:proofErr w:type="spellStart"/>
      <w:r w:rsidRPr="00993913">
        <w:rPr>
          <w:b w:val="0"/>
          <w:color w:val="auto"/>
          <w:shd w:val="clear" w:color="auto" w:fill="FFFFFF"/>
        </w:rPr>
        <w:t>Sirota</w:t>
      </w:r>
      <w:proofErr w:type="spellEnd"/>
      <w:r w:rsidRPr="00993913">
        <w:rPr>
          <w:b w:val="0"/>
          <w:color w:val="auto"/>
          <w:shd w:val="clear" w:color="auto" w:fill="FFFFFF"/>
        </w:rPr>
        <w:t>, M. L. (1976). Sex Discrimination: Title VII and the Bona Fide Occupational Qualification.</w:t>
      </w:r>
      <w:r w:rsidRPr="00993913">
        <w:rPr>
          <w:rStyle w:val="apple-converted-space"/>
          <w:b w:val="0"/>
          <w:color w:val="auto"/>
          <w:shd w:val="clear" w:color="auto" w:fill="FFFFFF"/>
        </w:rPr>
        <w:t> </w:t>
      </w:r>
      <w:r w:rsidRPr="00993913">
        <w:rPr>
          <w:b w:val="0"/>
          <w:i/>
          <w:iCs/>
          <w:color w:val="auto"/>
          <w:shd w:val="clear" w:color="auto" w:fill="FFFFFF"/>
        </w:rPr>
        <w:t>Tex. L. Rev.</w:t>
      </w:r>
      <w:r w:rsidRPr="00993913">
        <w:rPr>
          <w:b w:val="0"/>
          <w:color w:val="auto"/>
          <w:shd w:val="clear" w:color="auto" w:fill="FFFFFF"/>
        </w:rPr>
        <w:t>,</w:t>
      </w:r>
      <w:r w:rsidRPr="00993913">
        <w:rPr>
          <w:rStyle w:val="apple-converted-space"/>
          <w:b w:val="0"/>
          <w:color w:val="auto"/>
          <w:shd w:val="clear" w:color="auto" w:fill="FFFFFF"/>
        </w:rPr>
        <w:t> </w:t>
      </w:r>
      <w:r w:rsidRPr="00993913">
        <w:rPr>
          <w:b w:val="0"/>
          <w:i/>
          <w:iCs/>
          <w:color w:val="auto"/>
          <w:shd w:val="clear" w:color="auto" w:fill="FFFFFF"/>
        </w:rPr>
        <w:t>55</w:t>
      </w:r>
      <w:r w:rsidRPr="00993913">
        <w:rPr>
          <w:b w:val="0"/>
          <w:color w:val="auto"/>
          <w:shd w:val="clear" w:color="auto" w:fill="FFFFFF"/>
        </w:rPr>
        <w:t>, 1025.</w:t>
      </w:r>
    </w:p>
    <w:p w:rsidR="00993913" w:rsidRPr="00993913" w:rsidRDefault="00993913" w:rsidP="00BF5592">
      <w:pPr>
        <w:spacing w:line="480" w:lineRule="auto"/>
        <w:ind w:left="720" w:hanging="720"/>
        <w:jc w:val="both"/>
        <w:rPr>
          <w:b w:val="0"/>
          <w:color w:val="auto"/>
        </w:rPr>
      </w:pPr>
      <w:r w:rsidRPr="00993913">
        <w:rPr>
          <w:b w:val="0"/>
          <w:color w:val="auto"/>
        </w:rPr>
        <w:t xml:space="preserve">Sovereign, Kenneth L., Personnel Law, Fourth Edition (1999) EEOC Guidelines On Sex Discrimination, http://www.lalabor.com/Office of Equal Employment Opportunity, Discrimination Based on Gender or Sexual Orientation, </w:t>
      </w:r>
      <w:r w:rsidRPr="00993913">
        <w:rPr>
          <w:b w:val="0"/>
          <w:color w:val="auto"/>
        </w:rPr>
        <w:lastRenderedPageBreak/>
        <w:t xml:space="preserve">http://www.niehs.nih.gov/oeeo/sex.htm/ProvingDiscrimination,http://www.discriminationattorney.com/providing.htm </w:t>
      </w:r>
      <w:proofErr w:type="spellStart"/>
      <w:r w:rsidRPr="00993913">
        <w:rPr>
          <w:b w:val="0"/>
          <w:color w:val="auto"/>
        </w:rPr>
        <w:t>pp</w:t>
      </w:r>
      <w:proofErr w:type="spellEnd"/>
      <w:r w:rsidRPr="00993913">
        <w:rPr>
          <w:b w:val="0"/>
          <w:color w:val="auto"/>
        </w:rPr>
        <w:t xml:space="preserve"> 38,91-92,352.</w:t>
      </w:r>
    </w:p>
    <w:p w:rsidR="00ED0692" w:rsidRPr="00993913" w:rsidRDefault="00ED0692" w:rsidP="00ED0692">
      <w:pPr>
        <w:spacing w:line="480" w:lineRule="auto"/>
        <w:rPr>
          <w:b w:val="0"/>
          <w:color w:val="auto"/>
        </w:rPr>
      </w:pPr>
    </w:p>
    <w:p w:rsidR="00ED0692" w:rsidRPr="00993913" w:rsidRDefault="00ED0692" w:rsidP="00ED0692">
      <w:pPr>
        <w:spacing w:line="480" w:lineRule="auto"/>
        <w:rPr>
          <w:b w:val="0"/>
          <w:color w:val="auto"/>
        </w:rPr>
      </w:pPr>
    </w:p>
    <w:p w:rsidR="00ED0692" w:rsidRPr="00993913" w:rsidRDefault="00ED0692" w:rsidP="00ED0692">
      <w:pPr>
        <w:spacing w:line="480" w:lineRule="auto"/>
        <w:rPr>
          <w:b w:val="0"/>
          <w:color w:val="auto"/>
        </w:rPr>
      </w:pPr>
    </w:p>
    <w:p w:rsidR="0010505D" w:rsidRPr="00993913" w:rsidRDefault="0010505D" w:rsidP="00ED0692">
      <w:pPr>
        <w:spacing w:line="480" w:lineRule="auto"/>
        <w:rPr>
          <w:b w:val="0"/>
          <w:color w:val="auto"/>
        </w:rPr>
      </w:pPr>
    </w:p>
    <w:sectPr w:rsidR="0010505D" w:rsidRPr="00993913" w:rsidSect="00BF559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867" w:rsidRDefault="00D95867" w:rsidP="00BF5592">
      <w:pPr>
        <w:spacing w:after="0" w:line="240" w:lineRule="auto"/>
      </w:pPr>
      <w:r>
        <w:separator/>
      </w:r>
    </w:p>
  </w:endnote>
  <w:endnote w:type="continuationSeparator" w:id="0">
    <w:p w:rsidR="00D95867" w:rsidRDefault="00D95867" w:rsidP="00BF5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867" w:rsidRDefault="00D95867" w:rsidP="00BF5592">
      <w:pPr>
        <w:spacing w:after="0" w:line="240" w:lineRule="auto"/>
      </w:pPr>
      <w:r>
        <w:separator/>
      </w:r>
    </w:p>
  </w:footnote>
  <w:footnote w:type="continuationSeparator" w:id="0">
    <w:p w:rsidR="00D95867" w:rsidRDefault="00D95867" w:rsidP="00BF55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1900573"/>
      <w:docPartObj>
        <w:docPartGallery w:val="Page Numbers (Top of Page)"/>
        <w:docPartUnique/>
      </w:docPartObj>
    </w:sdtPr>
    <w:sdtEndPr>
      <w:rPr>
        <w:noProof/>
      </w:rPr>
    </w:sdtEndPr>
    <w:sdtContent>
      <w:p w:rsidR="00BF5592" w:rsidRPr="00BF5592" w:rsidRDefault="00BF5592" w:rsidP="00BF5592">
        <w:pPr>
          <w:spacing w:line="480" w:lineRule="auto"/>
          <w:rPr>
            <w:b w:val="0"/>
            <w:color w:val="auto"/>
          </w:rPr>
        </w:pPr>
        <w:r w:rsidRPr="00ED0692">
          <w:rPr>
            <w:b w:val="0"/>
            <w:color w:val="auto"/>
          </w:rPr>
          <w:t>IMPACT OF BONA FIDE OCCUPATIONAL QUALIFICATIONS</w:t>
        </w:r>
        <w:r>
          <w:rPr>
            <w:b w:val="0"/>
            <w:color w:val="auto"/>
          </w:rPr>
          <w:tab/>
        </w:r>
        <w:r>
          <w:rPr>
            <w:b w:val="0"/>
            <w:color w:val="auto"/>
          </w:rPr>
          <w:tab/>
          <w:t xml:space="preserve">         </w:t>
        </w:r>
        <w:r>
          <w:rPr>
            <w:b w:val="0"/>
            <w:color w:val="auto"/>
          </w:rPr>
          <w:tab/>
        </w:r>
        <w:r>
          <w:fldChar w:fldCharType="begin"/>
        </w:r>
        <w:r>
          <w:instrText xml:space="preserve"> PAGE   \* MERGEFORMAT </w:instrText>
        </w:r>
        <w:r>
          <w:fldChar w:fldCharType="separate"/>
        </w:r>
        <w:r w:rsidR="00993913">
          <w:rPr>
            <w:noProof/>
          </w:rPr>
          <w:t>6</w:t>
        </w:r>
        <w:r>
          <w:rPr>
            <w:noProof/>
          </w:rPr>
          <w:fldChar w:fldCharType="end"/>
        </w:r>
      </w:p>
    </w:sdtContent>
  </w:sdt>
  <w:p w:rsidR="00BF5592" w:rsidRDefault="00BF55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592" w:rsidRPr="00BF5592" w:rsidRDefault="00BF5592" w:rsidP="00BF5592">
    <w:pPr>
      <w:spacing w:line="480" w:lineRule="auto"/>
      <w:rPr>
        <w:b w:val="0"/>
        <w:color w:val="auto"/>
      </w:rPr>
    </w:pPr>
    <w:r w:rsidRPr="00BF5592">
      <w:rPr>
        <w:b w:val="0"/>
        <w:color w:val="auto"/>
      </w:rPr>
      <w:t>Running Head: Impact of Bona Fide Occupational Qualifications</w:t>
    </w:r>
  </w:p>
  <w:p w:rsidR="00BF5592" w:rsidRPr="00BF5592" w:rsidRDefault="00BF5592">
    <w:pPr>
      <w:pStyle w:val="Header"/>
      <w:rPr>
        <w:b w:val="0"/>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5D"/>
    <w:rsid w:val="00031D0E"/>
    <w:rsid w:val="000949B6"/>
    <w:rsid w:val="0010505D"/>
    <w:rsid w:val="00187962"/>
    <w:rsid w:val="001B534B"/>
    <w:rsid w:val="0023539E"/>
    <w:rsid w:val="002A6EDA"/>
    <w:rsid w:val="003130A5"/>
    <w:rsid w:val="003246AA"/>
    <w:rsid w:val="003B59DF"/>
    <w:rsid w:val="003E36A4"/>
    <w:rsid w:val="00410BD0"/>
    <w:rsid w:val="00506344"/>
    <w:rsid w:val="00512CCC"/>
    <w:rsid w:val="005149BB"/>
    <w:rsid w:val="00550170"/>
    <w:rsid w:val="00573F77"/>
    <w:rsid w:val="006B6640"/>
    <w:rsid w:val="0083324F"/>
    <w:rsid w:val="008E391A"/>
    <w:rsid w:val="00962685"/>
    <w:rsid w:val="00993913"/>
    <w:rsid w:val="00A55342"/>
    <w:rsid w:val="00AD5BB6"/>
    <w:rsid w:val="00AE6907"/>
    <w:rsid w:val="00AF2EA6"/>
    <w:rsid w:val="00BF5592"/>
    <w:rsid w:val="00C95C78"/>
    <w:rsid w:val="00CC2D77"/>
    <w:rsid w:val="00D95867"/>
    <w:rsid w:val="00DC3C49"/>
    <w:rsid w:val="00E43CA9"/>
    <w:rsid w:val="00E6559B"/>
    <w:rsid w:val="00EA01ED"/>
    <w:rsid w:val="00EB3655"/>
    <w:rsid w:val="00ED0692"/>
    <w:rsid w:val="00F30F89"/>
    <w:rsid w:val="00FE264D"/>
    <w:rsid w:val="00FF0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3C49"/>
    <w:pPr>
      <w:keepNext/>
      <w:keepLines/>
      <w:spacing w:before="480" w:after="0"/>
      <w:outlineLvl w:val="0"/>
    </w:pPr>
    <w:rPr>
      <w:rFonts w:asciiTheme="majorHAnsi" w:eastAsiaTheme="majorEastAsia" w:hAnsiTheme="majorHAnsi" w:cstheme="majorBidi"/>
      <w:bCs/>
      <w:color w:val="365F91" w:themeColor="accent1" w:themeShade="BF"/>
      <w:kern w:val="0"/>
      <w:sz w:val="28"/>
      <w:szCs w:val="28"/>
      <w:lang w:eastAsia="ja-JP"/>
    </w:rPr>
  </w:style>
  <w:style w:type="paragraph" w:styleId="Heading3">
    <w:name w:val="heading 3"/>
    <w:basedOn w:val="Normal"/>
    <w:link w:val="Heading3Char"/>
    <w:uiPriority w:val="9"/>
    <w:qFormat/>
    <w:rsid w:val="003E36A4"/>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505D"/>
    <w:pPr>
      <w:spacing w:before="100" w:beforeAutospacing="1" w:after="100" w:afterAutospacing="1" w:line="240" w:lineRule="auto"/>
    </w:pPr>
    <w:rPr>
      <w:rFonts w:eastAsia="Times New Roman"/>
      <w:b w:val="0"/>
      <w:color w:val="auto"/>
      <w:kern w:val="0"/>
    </w:rPr>
  </w:style>
  <w:style w:type="character" w:customStyle="1" w:styleId="documentpreview">
    <w:name w:val="document__preview"/>
    <w:basedOn w:val="DefaultParagraphFont"/>
    <w:rsid w:val="00E6559B"/>
  </w:style>
  <w:style w:type="character" w:customStyle="1" w:styleId="apple-converted-space">
    <w:name w:val="apple-converted-space"/>
    <w:basedOn w:val="DefaultParagraphFont"/>
    <w:rsid w:val="00E6559B"/>
  </w:style>
  <w:style w:type="character" w:styleId="Hyperlink">
    <w:name w:val="Hyperlink"/>
    <w:basedOn w:val="DefaultParagraphFont"/>
    <w:uiPriority w:val="99"/>
    <w:unhideWhenUsed/>
    <w:rsid w:val="00E6559B"/>
    <w:rPr>
      <w:color w:val="0000FF"/>
      <w:u w:val="single"/>
    </w:rPr>
  </w:style>
  <w:style w:type="character" w:customStyle="1" w:styleId="Heading3Char">
    <w:name w:val="Heading 3 Char"/>
    <w:basedOn w:val="DefaultParagraphFont"/>
    <w:link w:val="Heading3"/>
    <w:uiPriority w:val="9"/>
    <w:rsid w:val="003E36A4"/>
    <w:rPr>
      <w:rFonts w:eastAsia="Times New Roman"/>
      <w:bCs/>
      <w:color w:val="auto"/>
      <w:kern w:val="0"/>
      <w:sz w:val="27"/>
      <w:szCs w:val="27"/>
    </w:rPr>
  </w:style>
  <w:style w:type="paragraph" w:styleId="Header">
    <w:name w:val="header"/>
    <w:basedOn w:val="Normal"/>
    <w:link w:val="HeaderChar"/>
    <w:uiPriority w:val="99"/>
    <w:unhideWhenUsed/>
    <w:rsid w:val="00BF5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592"/>
  </w:style>
  <w:style w:type="paragraph" w:styleId="Footer">
    <w:name w:val="footer"/>
    <w:basedOn w:val="Normal"/>
    <w:link w:val="FooterChar"/>
    <w:uiPriority w:val="99"/>
    <w:unhideWhenUsed/>
    <w:rsid w:val="00BF5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592"/>
  </w:style>
  <w:style w:type="paragraph" w:styleId="BalloonText">
    <w:name w:val="Balloon Text"/>
    <w:basedOn w:val="Normal"/>
    <w:link w:val="BalloonTextChar"/>
    <w:uiPriority w:val="99"/>
    <w:semiHidden/>
    <w:unhideWhenUsed/>
    <w:rsid w:val="00235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39E"/>
    <w:rPr>
      <w:rFonts w:ascii="Tahoma" w:hAnsi="Tahoma" w:cs="Tahoma"/>
      <w:sz w:val="16"/>
      <w:szCs w:val="16"/>
    </w:rPr>
  </w:style>
  <w:style w:type="character" w:customStyle="1" w:styleId="Heading1Char">
    <w:name w:val="Heading 1 Char"/>
    <w:basedOn w:val="DefaultParagraphFont"/>
    <w:link w:val="Heading1"/>
    <w:uiPriority w:val="9"/>
    <w:rsid w:val="00DC3C49"/>
    <w:rPr>
      <w:rFonts w:asciiTheme="majorHAnsi" w:eastAsiaTheme="majorEastAsia" w:hAnsiTheme="majorHAnsi" w:cstheme="majorBidi"/>
      <w:bCs/>
      <w:color w:val="365F91" w:themeColor="accent1" w:themeShade="BF"/>
      <w:kern w:val="0"/>
      <w:sz w:val="28"/>
      <w:szCs w:val="28"/>
      <w:lang w:eastAsia="ja-JP"/>
    </w:rPr>
  </w:style>
  <w:style w:type="paragraph" w:styleId="Bibliography">
    <w:name w:val="Bibliography"/>
    <w:basedOn w:val="Normal"/>
    <w:next w:val="Normal"/>
    <w:uiPriority w:val="37"/>
    <w:unhideWhenUsed/>
    <w:rsid w:val="00DC3C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3C49"/>
    <w:pPr>
      <w:keepNext/>
      <w:keepLines/>
      <w:spacing w:before="480" w:after="0"/>
      <w:outlineLvl w:val="0"/>
    </w:pPr>
    <w:rPr>
      <w:rFonts w:asciiTheme="majorHAnsi" w:eastAsiaTheme="majorEastAsia" w:hAnsiTheme="majorHAnsi" w:cstheme="majorBidi"/>
      <w:bCs/>
      <w:color w:val="365F91" w:themeColor="accent1" w:themeShade="BF"/>
      <w:kern w:val="0"/>
      <w:sz w:val="28"/>
      <w:szCs w:val="28"/>
      <w:lang w:eastAsia="ja-JP"/>
    </w:rPr>
  </w:style>
  <w:style w:type="paragraph" w:styleId="Heading3">
    <w:name w:val="heading 3"/>
    <w:basedOn w:val="Normal"/>
    <w:link w:val="Heading3Char"/>
    <w:uiPriority w:val="9"/>
    <w:qFormat/>
    <w:rsid w:val="003E36A4"/>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505D"/>
    <w:pPr>
      <w:spacing w:before="100" w:beforeAutospacing="1" w:after="100" w:afterAutospacing="1" w:line="240" w:lineRule="auto"/>
    </w:pPr>
    <w:rPr>
      <w:rFonts w:eastAsia="Times New Roman"/>
      <w:b w:val="0"/>
      <w:color w:val="auto"/>
      <w:kern w:val="0"/>
    </w:rPr>
  </w:style>
  <w:style w:type="character" w:customStyle="1" w:styleId="documentpreview">
    <w:name w:val="document__preview"/>
    <w:basedOn w:val="DefaultParagraphFont"/>
    <w:rsid w:val="00E6559B"/>
  </w:style>
  <w:style w:type="character" w:customStyle="1" w:styleId="apple-converted-space">
    <w:name w:val="apple-converted-space"/>
    <w:basedOn w:val="DefaultParagraphFont"/>
    <w:rsid w:val="00E6559B"/>
  </w:style>
  <w:style w:type="character" w:styleId="Hyperlink">
    <w:name w:val="Hyperlink"/>
    <w:basedOn w:val="DefaultParagraphFont"/>
    <w:uiPriority w:val="99"/>
    <w:unhideWhenUsed/>
    <w:rsid w:val="00E6559B"/>
    <w:rPr>
      <w:color w:val="0000FF"/>
      <w:u w:val="single"/>
    </w:rPr>
  </w:style>
  <w:style w:type="character" w:customStyle="1" w:styleId="Heading3Char">
    <w:name w:val="Heading 3 Char"/>
    <w:basedOn w:val="DefaultParagraphFont"/>
    <w:link w:val="Heading3"/>
    <w:uiPriority w:val="9"/>
    <w:rsid w:val="003E36A4"/>
    <w:rPr>
      <w:rFonts w:eastAsia="Times New Roman"/>
      <w:bCs/>
      <w:color w:val="auto"/>
      <w:kern w:val="0"/>
      <w:sz w:val="27"/>
      <w:szCs w:val="27"/>
    </w:rPr>
  </w:style>
  <w:style w:type="paragraph" w:styleId="Header">
    <w:name w:val="header"/>
    <w:basedOn w:val="Normal"/>
    <w:link w:val="HeaderChar"/>
    <w:uiPriority w:val="99"/>
    <w:unhideWhenUsed/>
    <w:rsid w:val="00BF5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592"/>
  </w:style>
  <w:style w:type="paragraph" w:styleId="Footer">
    <w:name w:val="footer"/>
    <w:basedOn w:val="Normal"/>
    <w:link w:val="FooterChar"/>
    <w:uiPriority w:val="99"/>
    <w:unhideWhenUsed/>
    <w:rsid w:val="00BF5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592"/>
  </w:style>
  <w:style w:type="paragraph" w:styleId="BalloonText">
    <w:name w:val="Balloon Text"/>
    <w:basedOn w:val="Normal"/>
    <w:link w:val="BalloonTextChar"/>
    <w:uiPriority w:val="99"/>
    <w:semiHidden/>
    <w:unhideWhenUsed/>
    <w:rsid w:val="00235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39E"/>
    <w:rPr>
      <w:rFonts w:ascii="Tahoma" w:hAnsi="Tahoma" w:cs="Tahoma"/>
      <w:sz w:val="16"/>
      <w:szCs w:val="16"/>
    </w:rPr>
  </w:style>
  <w:style w:type="character" w:customStyle="1" w:styleId="Heading1Char">
    <w:name w:val="Heading 1 Char"/>
    <w:basedOn w:val="DefaultParagraphFont"/>
    <w:link w:val="Heading1"/>
    <w:uiPriority w:val="9"/>
    <w:rsid w:val="00DC3C49"/>
    <w:rPr>
      <w:rFonts w:asciiTheme="majorHAnsi" w:eastAsiaTheme="majorEastAsia" w:hAnsiTheme="majorHAnsi" w:cstheme="majorBidi"/>
      <w:bCs/>
      <w:color w:val="365F91" w:themeColor="accent1" w:themeShade="BF"/>
      <w:kern w:val="0"/>
      <w:sz w:val="28"/>
      <w:szCs w:val="28"/>
      <w:lang w:eastAsia="ja-JP"/>
    </w:rPr>
  </w:style>
  <w:style w:type="paragraph" w:styleId="Bibliography">
    <w:name w:val="Bibliography"/>
    <w:basedOn w:val="Normal"/>
    <w:next w:val="Normal"/>
    <w:uiPriority w:val="37"/>
    <w:unhideWhenUsed/>
    <w:rsid w:val="00DC3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610222">
      <w:bodyDiv w:val="1"/>
      <w:marLeft w:val="0"/>
      <w:marRight w:val="0"/>
      <w:marTop w:val="0"/>
      <w:marBottom w:val="0"/>
      <w:divBdr>
        <w:top w:val="none" w:sz="0" w:space="0" w:color="auto"/>
        <w:left w:val="none" w:sz="0" w:space="0" w:color="auto"/>
        <w:bottom w:val="none" w:sz="0" w:space="0" w:color="auto"/>
        <w:right w:val="none" w:sz="0" w:space="0" w:color="auto"/>
      </w:divBdr>
    </w:div>
    <w:div w:id="706418411">
      <w:bodyDiv w:val="1"/>
      <w:marLeft w:val="0"/>
      <w:marRight w:val="0"/>
      <w:marTop w:val="0"/>
      <w:marBottom w:val="0"/>
      <w:divBdr>
        <w:top w:val="none" w:sz="0" w:space="0" w:color="auto"/>
        <w:left w:val="none" w:sz="0" w:space="0" w:color="auto"/>
        <w:bottom w:val="none" w:sz="0" w:space="0" w:color="auto"/>
        <w:right w:val="none" w:sz="0" w:space="0" w:color="auto"/>
      </w:divBdr>
    </w:div>
    <w:div w:id="1128889684">
      <w:bodyDiv w:val="1"/>
      <w:marLeft w:val="0"/>
      <w:marRight w:val="0"/>
      <w:marTop w:val="0"/>
      <w:marBottom w:val="0"/>
      <w:divBdr>
        <w:top w:val="none" w:sz="0" w:space="0" w:color="auto"/>
        <w:left w:val="none" w:sz="0" w:space="0" w:color="auto"/>
        <w:bottom w:val="none" w:sz="0" w:space="0" w:color="auto"/>
        <w:right w:val="none" w:sz="0" w:space="0" w:color="auto"/>
      </w:divBdr>
      <w:divsChild>
        <w:div w:id="113790527">
          <w:marLeft w:val="0"/>
          <w:marRight w:val="0"/>
          <w:marTop w:val="0"/>
          <w:marBottom w:val="0"/>
          <w:divBdr>
            <w:top w:val="none" w:sz="0" w:space="0" w:color="auto"/>
            <w:left w:val="none" w:sz="0" w:space="0" w:color="auto"/>
            <w:bottom w:val="none" w:sz="0" w:space="0" w:color="auto"/>
            <w:right w:val="none" w:sz="0" w:space="0" w:color="auto"/>
          </w:divBdr>
        </w:div>
        <w:div w:id="1525052406">
          <w:marLeft w:val="0"/>
          <w:marRight w:val="0"/>
          <w:marTop w:val="0"/>
          <w:marBottom w:val="225"/>
          <w:divBdr>
            <w:top w:val="none" w:sz="0" w:space="0" w:color="auto"/>
            <w:left w:val="none" w:sz="0" w:space="0" w:color="auto"/>
            <w:bottom w:val="none" w:sz="0" w:space="0" w:color="auto"/>
            <w:right w:val="none" w:sz="0" w:space="0" w:color="auto"/>
          </w:divBdr>
        </w:div>
      </w:divsChild>
    </w:div>
    <w:div w:id="190213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Ami12</b:Tag>
    <b:SourceType>JournalArticle</b:SourceType>
    <b:Guid>{E2315B1C-8827-4816-9372-4A56E1913B99}</b:Guid>
    <b:Author>
      <b:Author>
        <b:NameList>
          <b:Person>
            <b:Last>Amini</b:Last>
            <b:First>Christopher</b:First>
            <b:Middle>P. Wesierski and Roxana</b:Middle>
          </b:Person>
        </b:NameList>
      </b:Author>
    </b:Author>
    <b:Title>: WEIGHING THE BALANCE: THE BONA FIDE</b:Title>
    <b:Year>2012</b:Year>
    <b:Pages>1-8</b:Pages>
    <b:JournalName>35 Los Angeles Lawyer 36 *</b:JournalName>
    <b:RefOrder>1</b:RefOrder>
  </b:Source>
</b:Sources>
</file>

<file path=customXml/itemProps1.xml><?xml version="1.0" encoding="utf-8"?>
<ds:datastoreItem xmlns:ds="http://schemas.openxmlformats.org/officeDocument/2006/customXml" ds:itemID="{9BB78174-72D4-43CD-BE5F-B9B2DB303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14</Pages>
  <Words>3049</Words>
  <Characters>17385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2019-02-26T18:01:00Z</dcterms:created>
  <dcterms:modified xsi:type="dcterms:W3CDTF">2019-02-27T12:17:00Z</dcterms:modified>
</cp:coreProperties>
</file>